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Foundations of Forensic Social Work</w:t>
      </w:r>
    </w:p>
    <w:p>
      <w:pPr>
        <w:spacing w:after="320"/>
      </w:pPr>
      <w:r>
        <w:rPr>
          <w:rFonts w:ascii="Aptos" w:hAnsi="Aptos"/>
          <w:color w:val="595959"/>
          <w:sz w:val="24"/>
        </w:rPr>
        <w:t>Learner guide  |  SWP-022  |  School of Criminal Justice &amp; Forensic Social Work</w:t>
      </w:r>
    </w:p>
    <w:p>
      <w:pPr>
        <w:spacing w:after="200"/>
      </w:pPr>
      <w:r>
        <w:rPr>
          <w:rFonts w:ascii="Aptos" w:hAnsi="Aptos"/>
          <w:color w:val="000000"/>
          <w:sz w:val="23"/>
        </w:rPr>
        <w:t>This guide supports a three-part learning sequence for Foundations of Forensic Social Work. By the end of the course, you should be able to explain social-work roles and ethical responsibilities in justice-related settings.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Explain social-work roles and ethical responsibilities in justice-related settings.</w:t>
      </w:r>
    </w:p>
    <w:p>
      <w:pPr>
        <w:pStyle w:val="ListBullet"/>
        <w:spacing w:after="80"/>
      </w:pPr>
      <w:r>
        <w:rPr>
          <w:rFonts w:ascii="Aptos" w:hAnsi="Aptos"/>
          <w:color w:val="000000"/>
          <w:sz w:val="21"/>
        </w:rPr>
        <w:t>Apply the key ideas from Practice contexts.</w:t>
      </w:r>
    </w:p>
    <w:p>
      <w:pPr>
        <w:pStyle w:val="ListBullet"/>
        <w:spacing w:after="80"/>
      </w:pPr>
      <w:r>
        <w:rPr>
          <w:rFonts w:ascii="Aptos" w:hAnsi="Aptos"/>
          <w:color w:val="000000"/>
          <w:sz w:val="21"/>
        </w:rPr>
        <w:t>Apply the key ideas from Assessment and intervention.</w:t>
      </w:r>
    </w:p>
    <w:p>
      <w:pPr>
        <w:pStyle w:val="ListBullet"/>
        <w:spacing w:after="80"/>
      </w:pPr>
      <w:r>
        <w:rPr>
          <w:rFonts w:ascii="Aptos" w:hAnsi="Aptos"/>
          <w:color w:val="000000"/>
          <w:sz w:val="21"/>
        </w:rPr>
        <w:t>Apply the key ideas from Ethics and boundaries.</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Practice contexts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courts, corrections, policing, victim services, child protection, and community programmes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Assessment and intervention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psychosocial reports, risk/needs principles, advocacy, and trauma-informed care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Ethics and boundaries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dual roles, confidentiality limits, informed consent, documentation, and cultural humility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Practice contexts</w:t>
      </w:r>
    </w:p>
    <w:p>
      <w:r>
        <w:rPr>
          <w:rFonts w:ascii="Aptos" w:hAnsi="Aptos"/>
          <w:color w:val="000000"/>
          <w:sz w:val="22"/>
        </w:rPr>
        <w:t>This module focuses on courts, corrections, policing, victim services, child protection, and community programmes.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Courts</w:t>
      </w:r>
    </w:p>
    <w:p>
      <w:pPr>
        <w:pStyle w:val="ListBullet"/>
        <w:spacing w:after="80"/>
      </w:pPr>
      <w:r>
        <w:rPr>
          <w:rFonts w:ascii="Aptos" w:hAnsi="Aptos"/>
          <w:color w:val="000000"/>
          <w:sz w:val="21"/>
        </w:rPr>
        <w:t>Corrections</w:t>
      </w:r>
    </w:p>
    <w:p>
      <w:pPr>
        <w:pStyle w:val="ListBullet"/>
        <w:spacing w:after="80"/>
      </w:pPr>
      <w:r>
        <w:rPr>
          <w:rFonts w:ascii="Aptos" w:hAnsi="Aptos"/>
          <w:color w:val="000000"/>
          <w:sz w:val="21"/>
        </w:rPr>
        <w:t>Policing</w:t>
      </w:r>
    </w:p>
    <w:p>
      <w:pPr>
        <w:pStyle w:val="ListBullet"/>
        <w:spacing w:after="80"/>
      </w:pPr>
      <w:r>
        <w:rPr>
          <w:rFonts w:ascii="Aptos" w:hAnsi="Aptos"/>
          <w:color w:val="000000"/>
          <w:sz w:val="21"/>
        </w:rPr>
        <w:t>Victim services</w:t>
      </w:r>
    </w:p>
    <w:p>
      <w:pPr>
        <w:pStyle w:val="ListBullet"/>
        <w:spacing w:after="80"/>
      </w:pPr>
      <w:r>
        <w:rPr>
          <w:rFonts w:ascii="Aptos" w:hAnsi="Aptos"/>
          <w:color w:val="000000"/>
          <w:sz w:val="21"/>
        </w:rPr>
        <w:t>Child protection</w:t>
      </w:r>
    </w:p>
    <w:p>
      <w:pPr>
        <w:pStyle w:val="ListBullet"/>
        <w:spacing w:after="80"/>
      </w:pPr>
      <w:r>
        <w:rPr>
          <w:rFonts w:ascii="Aptos" w:hAnsi="Aptos"/>
          <w:color w:val="000000"/>
          <w:sz w:val="21"/>
        </w:rPr>
        <w:t>Community programmes</w:t>
      </w:r>
    </w:p>
    <w:p>
      <w:pPr>
        <w:pStyle w:val="Heading2"/>
      </w:pPr>
      <w:r>
        <w:t>Learning sequence</w:t>
      </w:r>
    </w:p>
    <w:p>
      <w:pPr>
        <w:spacing w:after="160"/>
      </w:pPr>
      <w:r>
        <w:rPr>
          <w:rFonts w:ascii="Aptos" w:hAnsi="Aptos"/>
          <w:color w:val="000000"/>
          <w:sz w:val="21"/>
        </w:rPr>
        <w:t>Start by defining the purpose of practice contexts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courts, corrections, policing, victim services, child protection, and community programmes.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practice contexts safely, and what would require consultation or a local policy check?</w:t>
      </w:r>
    </w:p>
    <w:p>
      <w:r>
        <w:br w:type="page"/>
      </w:r>
    </w:p>
    <w:p>
      <w:pPr>
        <w:pStyle w:val="Heading1"/>
      </w:pPr>
      <w:r>
        <w:t>Module 2  Assessment and intervention</w:t>
      </w:r>
    </w:p>
    <w:p>
      <w:r>
        <w:rPr>
          <w:rFonts w:ascii="Aptos" w:hAnsi="Aptos"/>
          <w:color w:val="000000"/>
          <w:sz w:val="22"/>
        </w:rPr>
        <w:t>This module focuses on psychosocial reports, risk/needs principles, advocacy, and trauma-informed care.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Psychosocial reports</w:t>
      </w:r>
    </w:p>
    <w:p>
      <w:pPr>
        <w:pStyle w:val="ListBullet"/>
        <w:spacing w:after="80"/>
      </w:pPr>
      <w:r>
        <w:rPr>
          <w:rFonts w:ascii="Aptos" w:hAnsi="Aptos"/>
          <w:color w:val="000000"/>
          <w:sz w:val="21"/>
        </w:rPr>
        <w:t>Risk/needs principles</w:t>
      </w:r>
    </w:p>
    <w:p>
      <w:pPr>
        <w:pStyle w:val="ListBullet"/>
        <w:spacing w:after="80"/>
      </w:pPr>
      <w:r>
        <w:rPr>
          <w:rFonts w:ascii="Aptos" w:hAnsi="Aptos"/>
          <w:color w:val="000000"/>
          <w:sz w:val="21"/>
        </w:rPr>
        <w:t>Advocacy</w:t>
      </w:r>
    </w:p>
    <w:p>
      <w:pPr>
        <w:pStyle w:val="ListBullet"/>
        <w:spacing w:after="80"/>
      </w:pPr>
      <w:r>
        <w:rPr>
          <w:rFonts w:ascii="Aptos" w:hAnsi="Aptos"/>
          <w:color w:val="000000"/>
          <w:sz w:val="21"/>
        </w:rPr>
        <w:t>Trauma-informed care</w:t>
      </w:r>
    </w:p>
    <w:p>
      <w:pPr>
        <w:pStyle w:val="Heading2"/>
      </w:pPr>
      <w:r>
        <w:t>Learning sequence</w:t>
      </w:r>
    </w:p>
    <w:p>
      <w:pPr>
        <w:spacing w:after="160"/>
      </w:pPr>
      <w:r>
        <w:rPr>
          <w:rFonts w:ascii="Aptos" w:hAnsi="Aptos"/>
          <w:color w:val="000000"/>
          <w:sz w:val="21"/>
        </w:rPr>
        <w:t>Start by defining the purpose of assessment and intervention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psychosocial reports, risk/needs principles, advocacy, and trauma-informed care.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assessment and intervention safely, and what would require consultation or a local policy check?</w:t>
      </w:r>
    </w:p>
    <w:p>
      <w:r>
        <w:br w:type="page"/>
      </w:r>
    </w:p>
    <w:p>
      <w:pPr>
        <w:pStyle w:val="Heading1"/>
      </w:pPr>
      <w:r>
        <w:t>Module 3  Ethics and boundaries</w:t>
      </w:r>
    </w:p>
    <w:p>
      <w:r>
        <w:rPr>
          <w:rFonts w:ascii="Aptos" w:hAnsi="Aptos"/>
          <w:color w:val="000000"/>
          <w:sz w:val="22"/>
        </w:rPr>
        <w:t>This module focuses on dual roles, confidentiality limits, informed consent, documentation, and cultural humility.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Dual roles</w:t>
      </w:r>
    </w:p>
    <w:p>
      <w:pPr>
        <w:pStyle w:val="ListBullet"/>
        <w:spacing w:after="80"/>
      </w:pPr>
      <w:r>
        <w:rPr>
          <w:rFonts w:ascii="Aptos" w:hAnsi="Aptos"/>
          <w:color w:val="000000"/>
          <w:sz w:val="21"/>
        </w:rPr>
        <w:t>Confidentiality limits</w:t>
      </w:r>
    </w:p>
    <w:p>
      <w:pPr>
        <w:pStyle w:val="ListBullet"/>
        <w:spacing w:after="80"/>
      </w:pPr>
      <w:r>
        <w:rPr>
          <w:rFonts w:ascii="Aptos" w:hAnsi="Aptos"/>
          <w:color w:val="000000"/>
          <w:sz w:val="21"/>
        </w:rPr>
        <w:t>Informed consent</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Cultural humility</w:t>
      </w:r>
    </w:p>
    <w:p>
      <w:pPr>
        <w:pStyle w:val="Heading2"/>
      </w:pPr>
      <w:r>
        <w:t>Learning sequence</w:t>
      </w:r>
    </w:p>
    <w:p>
      <w:pPr>
        <w:spacing w:after="160"/>
      </w:pPr>
      <w:r>
        <w:rPr>
          <w:rFonts w:ascii="Aptos" w:hAnsi="Aptos"/>
          <w:color w:val="000000"/>
          <w:sz w:val="21"/>
        </w:rPr>
        <w:t>Start by defining the purpose of ethics and boundaries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dual roles, confidentiality limits, informed consent, documentation, and cultural humility.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ethics and boundaries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roles.</w:t>
      </w:r>
    </w:p>
    <w:p>
      <w:pPr>
        <w:pStyle w:val="ListBullet"/>
        <w:spacing w:after="80"/>
      </w:pPr>
      <w:r>
        <w:rPr>
          <w:rFonts w:ascii="Aptos" w:hAnsi="Aptos"/>
          <w:color w:val="000000"/>
          <w:sz w:val="21"/>
        </w:rPr>
        <w:t>Review the distinction between: confidentiality limits.</w:t>
      </w:r>
    </w:p>
    <w:p>
      <w:pPr>
        <w:pStyle w:val="ListBullet"/>
        <w:spacing w:after="80"/>
      </w:pPr>
      <w:r>
        <w:rPr>
          <w:rFonts w:ascii="Aptos" w:hAnsi="Aptos"/>
          <w:color w:val="000000"/>
          <w:sz w:val="21"/>
        </w:rPr>
        <w:t>Review the distinction between: ethics.</w:t>
      </w:r>
    </w:p>
    <w:p>
      <w:pPr>
        <w:pStyle w:val="ListBullet"/>
        <w:spacing w:after="80"/>
      </w:pPr>
      <w:r>
        <w:rPr>
          <w:rFonts w:ascii="Aptos" w:hAnsi="Aptos"/>
          <w:color w:val="000000"/>
          <w:sz w:val="21"/>
        </w:rPr>
        <w:t>Review the distinction between: trauma-informed practice.</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Forensic Social Work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