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Diversion Programs &amp; Restorative Justice</w:t>
      </w:r>
    </w:p>
    <w:p>
      <w:pPr>
        <w:spacing w:after="320"/>
      </w:pPr>
      <w:r>
        <w:rPr>
          <w:rFonts w:ascii="Aptos" w:hAnsi="Aptos"/>
          <w:color w:val="595959"/>
          <w:sz w:val="24"/>
        </w:rPr>
        <w:t>Learner guide  |  SWP-023  |  School of Criminal Justice &amp; Forensic Social Work</w:t>
      </w:r>
    </w:p>
    <w:p>
      <w:pPr>
        <w:spacing w:after="200"/>
      </w:pPr>
      <w:r>
        <w:rPr>
          <w:rFonts w:ascii="Aptos" w:hAnsi="Aptos"/>
          <w:color w:val="000000"/>
          <w:sz w:val="23"/>
        </w:rPr>
        <w:t>This guide supports a three-part learning sequence for Diversion Programs &amp; Restorative Justice. By the end of the course, you should be able to describe suitable diversion and restorative approaches and their safeguards.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Describe suitable diversion and restorative approaches and their safeguards.</w:t>
      </w:r>
    </w:p>
    <w:p>
      <w:pPr>
        <w:pStyle w:val="ListBullet"/>
        <w:spacing w:after="80"/>
      </w:pPr>
      <w:r>
        <w:rPr>
          <w:rFonts w:ascii="Aptos" w:hAnsi="Aptos"/>
          <w:color w:val="000000"/>
          <w:sz w:val="21"/>
        </w:rPr>
        <w:t>Apply the key ideas from Alternatives to incarceration.</w:t>
      </w:r>
    </w:p>
    <w:p>
      <w:pPr>
        <w:pStyle w:val="ListBullet"/>
        <w:spacing w:after="80"/>
      </w:pPr>
      <w:r>
        <w:rPr>
          <w:rFonts w:ascii="Aptos" w:hAnsi="Aptos"/>
          <w:color w:val="000000"/>
          <w:sz w:val="21"/>
        </w:rPr>
        <w:t>Apply the key ideas from Restorative justice principles.</w:t>
      </w:r>
    </w:p>
    <w:p>
      <w:pPr>
        <w:pStyle w:val="ListBullet"/>
        <w:spacing w:after="80"/>
      </w:pPr>
      <w:r>
        <w:rPr>
          <w:rFonts w:ascii="Aptos" w:hAnsi="Aptos"/>
          <w:color w:val="000000"/>
          <w:sz w:val="21"/>
        </w:rPr>
        <w:t>Apply the key ideas from Case coordination.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Alternatives to incarceration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eligibility, aims, equity, community-based support, and evidence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Restorative justice principles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voluntary participation, accountability, repair, victim safety, and facilitator neutrality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Case coordination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referral, service plans, monitoring, completion, and avoiding net widening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Alternatives to incarceration</w:t>
      </w:r>
    </w:p>
    <w:p>
      <w:r>
        <w:rPr>
          <w:rFonts w:ascii="Aptos" w:hAnsi="Aptos"/>
          <w:color w:val="000000"/>
          <w:sz w:val="22"/>
        </w:rPr>
        <w:t>This module focuses on eligibility, aims, equity, community-based support, and evidence.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Eligibility</w:t>
      </w:r>
    </w:p>
    <w:p>
      <w:pPr>
        <w:pStyle w:val="ListBullet"/>
        <w:spacing w:after="80"/>
      </w:pPr>
      <w:r>
        <w:rPr>
          <w:rFonts w:ascii="Aptos" w:hAnsi="Aptos"/>
          <w:color w:val="000000"/>
          <w:sz w:val="21"/>
        </w:rPr>
        <w:t>Aims</w:t>
      </w:r>
    </w:p>
    <w:p>
      <w:pPr>
        <w:pStyle w:val="ListBullet"/>
        <w:spacing w:after="80"/>
      </w:pPr>
      <w:r>
        <w:rPr>
          <w:rFonts w:ascii="Aptos" w:hAnsi="Aptos"/>
          <w:color w:val="000000"/>
          <w:sz w:val="21"/>
        </w:rPr>
        <w:t>Equity</w:t>
      </w:r>
    </w:p>
    <w:p>
      <w:pPr>
        <w:pStyle w:val="ListBullet"/>
        <w:spacing w:after="80"/>
      </w:pPr>
      <w:r>
        <w:rPr>
          <w:rFonts w:ascii="Aptos" w:hAnsi="Aptos"/>
          <w:color w:val="000000"/>
          <w:sz w:val="21"/>
        </w:rPr>
        <w:t>Community-based support</w:t>
      </w:r>
    </w:p>
    <w:p>
      <w:pPr>
        <w:pStyle w:val="ListBullet"/>
        <w:spacing w:after="80"/>
      </w:pPr>
      <w:r>
        <w:rPr>
          <w:rFonts w:ascii="Aptos" w:hAnsi="Aptos"/>
          <w:color w:val="000000"/>
          <w:sz w:val="21"/>
        </w:rPr>
        <w:t>Evidence</w:t>
      </w:r>
    </w:p>
    <w:p>
      <w:pPr>
        <w:pStyle w:val="Heading2"/>
      </w:pPr>
      <w:r>
        <w:t>Learning sequence</w:t>
      </w:r>
    </w:p>
    <w:p>
      <w:pPr>
        <w:spacing w:after="160"/>
      </w:pPr>
      <w:r>
        <w:rPr>
          <w:rFonts w:ascii="Aptos" w:hAnsi="Aptos"/>
          <w:color w:val="000000"/>
          <w:sz w:val="21"/>
        </w:rPr>
        <w:t>Start by defining the purpose of alternatives to incarceration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eligibility, aims, equity, community-based support, and evidence.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alternatives to incarceration safely, and what would require consultation or a local policy check?</w:t>
      </w:r>
    </w:p>
    <w:p>
      <w:r>
        <w:br w:type="page"/>
      </w:r>
    </w:p>
    <w:p>
      <w:pPr>
        <w:pStyle w:val="Heading1"/>
      </w:pPr>
      <w:r>
        <w:t>Module 2  Restorative justice principles</w:t>
      </w:r>
    </w:p>
    <w:p>
      <w:r>
        <w:rPr>
          <w:rFonts w:ascii="Aptos" w:hAnsi="Aptos"/>
          <w:color w:val="000000"/>
          <w:sz w:val="22"/>
        </w:rPr>
        <w:t>This module focuses on voluntary participation, accountability, repair, victim safety, and facilitator neutrality.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Voluntary participation</w:t>
      </w:r>
    </w:p>
    <w:p>
      <w:pPr>
        <w:pStyle w:val="ListBullet"/>
        <w:spacing w:after="80"/>
      </w:pPr>
      <w:r>
        <w:rPr>
          <w:rFonts w:ascii="Aptos" w:hAnsi="Aptos"/>
          <w:color w:val="000000"/>
          <w:sz w:val="21"/>
        </w:rPr>
        <w:t>Accountability</w:t>
      </w:r>
    </w:p>
    <w:p>
      <w:pPr>
        <w:pStyle w:val="ListBullet"/>
        <w:spacing w:after="80"/>
      </w:pPr>
      <w:r>
        <w:rPr>
          <w:rFonts w:ascii="Aptos" w:hAnsi="Aptos"/>
          <w:color w:val="000000"/>
          <w:sz w:val="21"/>
        </w:rPr>
        <w:t>Repair</w:t>
      </w:r>
    </w:p>
    <w:p>
      <w:pPr>
        <w:pStyle w:val="ListBullet"/>
        <w:spacing w:after="80"/>
      </w:pPr>
      <w:r>
        <w:rPr>
          <w:rFonts w:ascii="Aptos" w:hAnsi="Aptos"/>
          <w:color w:val="000000"/>
          <w:sz w:val="21"/>
        </w:rPr>
        <w:t>Victim safety</w:t>
      </w:r>
    </w:p>
    <w:p>
      <w:pPr>
        <w:pStyle w:val="ListBullet"/>
        <w:spacing w:after="80"/>
      </w:pPr>
      <w:r>
        <w:rPr>
          <w:rFonts w:ascii="Aptos" w:hAnsi="Aptos"/>
          <w:color w:val="000000"/>
          <w:sz w:val="21"/>
        </w:rPr>
        <w:t>Facilitator neutrality</w:t>
      </w:r>
    </w:p>
    <w:p>
      <w:pPr>
        <w:pStyle w:val="Heading2"/>
      </w:pPr>
      <w:r>
        <w:t>Learning sequence</w:t>
      </w:r>
    </w:p>
    <w:p>
      <w:pPr>
        <w:spacing w:after="160"/>
      </w:pPr>
      <w:r>
        <w:rPr>
          <w:rFonts w:ascii="Aptos" w:hAnsi="Aptos"/>
          <w:color w:val="000000"/>
          <w:sz w:val="21"/>
        </w:rPr>
        <w:t>Start by defining the purpose of restorative justice principles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voluntary participation, accountability, repair, victim safety, and facilitator neutrality.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restorative justice principles safely, and what would require consultation or a local policy check?</w:t>
      </w:r>
    </w:p>
    <w:p>
      <w:r>
        <w:br w:type="page"/>
      </w:r>
    </w:p>
    <w:p>
      <w:pPr>
        <w:pStyle w:val="Heading1"/>
      </w:pPr>
      <w:r>
        <w:t>Module 3  Case coordination</w:t>
      </w:r>
    </w:p>
    <w:p>
      <w:r>
        <w:rPr>
          <w:rFonts w:ascii="Aptos" w:hAnsi="Aptos"/>
          <w:color w:val="000000"/>
          <w:sz w:val="22"/>
        </w:rPr>
        <w:t>This module focuses on referral, service plans, monitoring, completion, and avoiding net widening.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Referral</w:t>
      </w:r>
    </w:p>
    <w:p>
      <w:pPr>
        <w:pStyle w:val="ListBullet"/>
        <w:spacing w:after="80"/>
      </w:pPr>
      <w:r>
        <w:rPr>
          <w:rFonts w:ascii="Aptos" w:hAnsi="Aptos"/>
          <w:color w:val="000000"/>
          <w:sz w:val="21"/>
        </w:rPr>
        <w:t>Service plans</w:t>
      </w:r>
    </w:p>
    <w:p>
      <w:pPr>
        <w:pStyle w:val="ListBullet"/>
        <w:spacing w:after="80"/>
      </w:pPr>
      <w:r>
        <w:rPr>
          <w:rFonts w:ascii="Aptos" w:hAnsi="Aptos"/>
          <w:color w:val="000000"/>
          <w:sz w:val="21"/>
        </w:rPr>
        <w:t>Monitoring</w:t>
      </w:r>
    </w:p>
    <w:p>
      <w:pPr>
        <w:pStyle w:val="ListBullet"/>
        <w:spacing w:after="80"/>
      </w:pPr>
      <w:r>
        <w:rPr>
          <w:rFonts w:ascii="Aptos" w:hAnsi="Aptos"/>
          <w:color w:val="000000"/>
          <w:sz w:val="21"/>
        </w:rPr>
        <w:t>Completion</w:t>
      </w:r>
    </w:p>
    <w:p>
      <w:pPr>
        <w:pStyle w:val="ListBullet"/>
        <w:spacing w:after="80"/>
      </w:pPr>
      <w:r>
        <w:rPr>
          <w:rFonts w:ascii="Aptos" w:hAnsi="Aptos"/>
          <w:color w:val="000000"/>
          <w:sz w:val="21"/>
        </w:rPr>
        <w:t>Avoiding net widening</w:t>
      </w:r>
    </w:p>
    <w:p>
      <w:pPr>
        <w:pStyle w:val="Heading2"/>
      </w:pPr>
      <w:r>
        <w:t>Learning sequence</w:t>
      </w:r>
    </w:p>
    <w:p>
      <w:pPr>
        <w:spacing w:after="160"/>
      </w:pPr>
      <w:r>
        <w:rPr>
          <w:rFonts w:ascii="Aptos" w:hAnsi="Aptos"/>
          <w:color w:val="000000"/>
          <w:sz w:val="21"/>
        </w:rPr>
        <w:t>Start by defining the purpose of case coordination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referral, service plans, monitoring, completion, and avoiding net widening.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case coordination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eligibility.</w:t>
      </w:r>
    </w:p>
    <w:p>
      <w:pPr>
        <w:pStyle w:val="ListBullet"/>
        <w:spacing w:after="80"/>
      </w:pPr>
      <w:r>
        <w:rPr>
          <w:rFonts w:ascii="Aptos" w:hAnsi="Aptos"/>
          <w:color w:val="000000"/>
          <w:sz w:val="21"/>
        </w:rPr>
        <w:t>Review the distinction between: consent.</w:t>
      </w:r>
    </w:p>
    <w:p>
      <w:pPr>
        <w:pStyle w:val="ListBullet"/>
        <w:spacing w:after="80"/>
      </w:pPr>
      <w:r>
        <w:rPr>
          <w:rFonts w:ascii="Aptos" w:hAnsi="Aptos"/>
          <w:color w:val="000000"/>
          <w:sz w:val="21"/>
        </w:rPr>
        <w:t>Review the distinction between: victim safety.</w:t>
      </w:r>
    </w:p>
    <w:p>
      <w:pPr>
        <w:pStyle w:val="ListBullet"/>
        <w:spacing w:after="80"/>
      </w:pPr>
      <w:r>
        <w:rPr>
          <w:rFonts w:ascii="Aptos" w:hAnsi="Aptos"/>
          <w:color w:val="000000"/>
          <w:sz w:val="21"/>
        </w:rPr>
        <w:t>Review the distinction between: programme safeguards.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Diversion Programs &amp; Restorative Justice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