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Reentry Planning &amp; Community Reintegration</w:t>
      </w:r>
    </w:p>
    <w:p>
      <w:pPr>
        <w:spacing w:after="320"/>
      </w:pPr>
      <w:r>
        <w:rPr>
          <w:rFonts w:ascii="Aptos" w:hAnsi="Aptos"/>
          <w:color w:val="595959"/>
          <w:sz w:val="24"/>
        </w:rPr>
        <w:t>Learner guide  |  SWP-024  |  School of Criminal Justice &amp; Forensic Social Work</w:t>
      </w:r>
    </w:p>
    <w:p>
      <w:pPr>
        <w:spacing w:after="200"/>
      </w:pPr>
      <w:r>
        <w:rPr>
          <w:rFonts w:ascii="Aptos" w:hAnsi="Aptos"/>
          <w:color w:val="000000"/>
          <w:sz w:val="23"/>
        </w:rPr>
        <w:t>This guide supports a three-part learning sequence for Reentry Planning &amp; Community Reintegration. By the end of the course, you should be able to build coordinated plans that support safe reentry after detention or incarceration.</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Learning objectives</w:t>
      </w:r>
    </w:p>
    <w:p>
      <w:pPr>
        <w:pStyle w:val="ListBullet"/>
        <w:spacing w:after="80"/>
      </w:pPr>
      <w:r>
        <w:rPr>
          <w:rFonts w:ascii="Aptos" w:hAnsi="Aptos"/>
          <w:color w:val="000000"/>
          <w:sz w:val="21"/>
        </w:rPr>
        <w:t>Build coordinated plans that support safe reentry after detention or incarceration.</w:t>
      </w:r>
    </w:p>
    <w:p>
      <w:pPr>
        <w:pStyle w:val="ListBullet"/>
        <w:spacing w:after="80"/>
      </w:pPr>
      <w:r>
        <w:rPr>
          <w:rFonts w:ascii="Aptos" w:hAnsi="Aptos"/>
          <w:color w:val="000000"/>
          <w:sz w:val="21"/>
        </w:rPr>
        <w:t>Apply the key ideas from Reentry needs.</w:t>
      </w:r>
    </w:p>
    <w:p>
      <w:pPr>
        <w:pStyle w:val="ListBullet"/>
        <w:spacing w:after="80"/>
      </w:pPr>
      <w:r>
        <w:rPr>
          <w:rFonts w:ascii="Aptos" w:hAnsi="Aptos"/>
          <w:color w:val="000000"/>
          <w:sz w:val="21"/>
        </w:rPr>
        <w:t>Apply the key ideas from Planning before release.</w:t>
      </w:r>
    </w:p>
    <w:p>
      <w:pPr>
        <w:pStyle w:val="ListBullet"/>
        <w:spacing w:after="80"/>
      </w:pPr>
      <w:r>
        <w:rPr>
          <w:rFonts w:ascii="Aptos" w:hAnsi="Aptos"/>
          <w:color w:val="000000"/>
          <w:sz w:val="21"/>
        </w:rPr>
        <w:t>Apply the key ideas from Community follow-up.</w:t>
      </w:r>
    </w:p>
    <w:p>
      <w:pPr>
        <w:pStyle w:val="Heading1"/>
      </w:pPr>
      <w:r>
        <w:t>Course structure</w:t>
      </w:r>
    </w:p>
    <w:tbl>
      <w:tblPr>
        <w:tblStyle w:val="TableGrid"/>
        <w:tblW w:type="auto" w:w="0"/>
        <w:tblLook w:firstColumn="1" w:firstRow="1" w:lastColumn="0" w:lastRow="0" w:noHBand="0" w:noVBand="1" w:val="04A0"/>
      </w:tblPr>
      <w:tblGrid>
        <w:gridCol w:w="3293"/>
        <w:gridCol w:w="3293"/>
        <w:gridCol w:w="3293"/>
      </w:tblGrid>
      <w:tr>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Module</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Focus</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Suggested study time</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1. Reentry needs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housing, employment, health, identification, family, stigma, legal obligations, and risk</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2. Planning before release</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assessment, goal setting, records transfer, benefits, family preparation, and warm referrals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3. Community follow-up</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continuity of care, peer support, crisis response, progress review, and advocacy</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bl>
    <w:p>
      <w:r>
        <w:br w:type="page"/>
      </w:r>
    </w:p>
    <w:p>
      <w:pPr>
        <w:pStyle w:val="Heading1"/>
      </w:pPr>
      <w:r>
        <w:t>Module 1  Reentry needs</w:t>
      </w:r>
    </w:p>
    <w:p>
      <w:r>
        <w:rPr>
          <w:rFonts w:ascii="Aptos" w:hAnsi="Aptos"/>
          <w:color w:val="000000"/>
          <w:sz w:val="22"/>
        </w:rPr>
        <w:t>This module focuses on housing, employment, health, identification, family, stigma, legal obligations, and risk.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Housing</w:t>
      </w:r>
    </w:p>
    <w:p>
      <w:pPr>
        <w:pStyle w:val="ListBullet"/>
        <w:spacing w:after="80"/>
      </w:pPr>
      <w:r>
        <w:rPr>
          <w:rFonts w:ascii="Aptos" w:hAnsi="Aptos"/>
          <w:color w:val="000000"/>
          <w:sz w:val="21"/>
        </w:rPr>
        <w:t>Employment</w:t>
      </w:r>
    </w:p>
    <w:p>
      <w:pPr>
        <w:pStyle w:val="ListBullet"/>
        <w:spacing w:after="80"/>
      </w:pPr>
      <w:r>
        <w:rPr>
          <w:rFonts w:ascii="Aptos" w:hAnsi="Aptos"/>
          <w:color w:val="000000"/>
          <w:sz w:val="21"/>
        </w:rPr>
        <w:t>Health</w:t>
      </w:r>
    </w:p>
    <w:p>
      <w:pPr>
        <w:pStyle w:val="ListBullet"/>
        <w:spacing w:after="80"/>
      </w:pPr>
      <w:r>
        <w:rPr>
          <w:rFonts w:ascii="Aptos" w:hAnsi="Aptos"/>
          <w:color w:val="000000"/>
          <w:sz w:val="21"/>
        </w:rPr>
        <w:t>Identification</w:t>
      </w:r>
    </w:p>
    <w:p>
      <w:pPr>
        <w:pStyle w:val="ListBullet"/>
        <w:spacing w:after="80"/>
      </w:pPr>
      <w:r>
        <w:rPr>
          <w:rFonts w:ascii="Aptos" w:hAnsi="Aptos"/>
          <w:color w:val="000000"/>
          <w:sz w:val="21"/>
        </w:rPr>
        <w:t>Family</w:t>
      </w:r>
    </w:p>
    <w:p>
      <w:pPr>
        <w:pStyle w:val="ListBullet"/>
        <w:spacing w:after="80"/>
      </w:pPr>
      <w:r>
        <w:rPr>
          <w:rFonts w:ascii="Aptos" w:hAnsi="Aptos"/>
          <w:color w:val="000000"/>
          <w:sz w:val="21"/>
        </w:rPr>
        <w:t>Stigma</w:t>
      </w:r>
    </w:p>
    <w:p>
      <w:pPr>
        <w:pStyle w:val="ListBullet"/>
        <w:spacing w:after="80"/>
      </w:pPr>
      <w:r>
        <w:rPr>
          <w:rFonts w:ascii="Aptos" w:hAnsi="Aptos"/>
          <w:color w:val="000000"/>
          <w:sz w:val="21"/>
        </w:rPr>
        <w:t>Legal obligations</w:t>
      </w:r>
    </w:p>
    <w:p>
      <w:pPr>
        <w:pStyle w:val="ListBullet"/>
        <w:spacing w:after="80"/>
      </w:pPr>
      <w:r>
        <w:rPr>
          <w:rFonts w:ascii="Aptos" w:hAnsi="Aptos"/>
          <w:color w:val="000000"/>
          <w:sz w:val="21"/>
        </w:rPr>
        <w:t>Risk</w:t>
      </w:r>
    </w:p>
    <w:p>
      <w:pPr>
        <w:pStyle w:val="Heading2"/>
      </w:pPr>
      <w:r>
        <w:t>Learning sequence</w:t>
      </w:r>
    </w:p>
    <w:p>
      <w:pPr>
        <w:spacing w:after="160"/>
      </w:pPr>
      <w:r>
        <w:rPr>
          <w:rFonts w:ascii="Aptos" w:hAnsi="Aptos"/>
          <w:color w:val="000000"/>
          <w:sz w:val="21"/>
        </w:rPr>
        <w:t>Start by defining the purpose of reentry needs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housing, employment, health, identification, family, stigma, legal obligations, and risk.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reentry needs safely, and what would require consultation or a local policy check?</w:t>
      </w:r>
    </w:p>
    <w:p>
      <w:r>
        <w:br w:type="page"/>
      </w:r>
    </w:p>
    <w:p>
      <w:pPr>
        <w:pStyle w:val="Heading1"/>
      </w:pPr>
      <w:r>
        <w:t>Module 2  Planning before release</w:t>
      </w:r>
    </w:p>
    <w:p>
      <w:r>
        <w:rPr>
          <w:rFonts w:ascii="Aptos" w:hAnsi="Aptos"/>
          <w:color w:val="000000"/>
          <w:sz w:val="22"/>
        </w:rPr>
        <w:t>This module focuses on assessment, goal setting, records transfer, benefits, family preparation, and warm referrals.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Assessment</w:t>
      </w:r>
    </w:p>
    <w:p>
      <w:pPr>
        <w:pStyle w:val="ListBullet"/>
        <w:spacing w:after="80"/>
      </w:pPr>
      <w:r>
        <w:rPr>
          <w:rFonts w:ascii="Aptos" w:hAnsi="Aptos"/>
          <w:color w:val="000000"/>
          <w:sz w:val="21"/>
        </w:rPr>
        <w:t>Goal setting</w:t>
      </w:r>
    </w:p>
    <w:p>
      <w:pPr>
        <w:pStyle w:val="ListBullet"/>
        <w:spacing w:after="80"/>
      </w:pPr>
      <w:r>
        <w:rPr>
          <w:rFonts w:ascii="Aptos" w:hAnsi="Aptos"/>
          <w:color w:val="000000"/>
          <w:sz w:val="21"/>
        </w:rPr>
        <w:t>Records transfer</w:t>
      </w:r>
    </w:p>
    <w:p>
      <w:pPr>
        <w:pStyle w:val="ListBullet"/>
        <w:spacing w:after="80"/>
      </w:pPr>
      <w:r>
        <w:rPr>
          <w:rFonts w:ascii="Aptos" w:hAnsi="Aptos"/>
          <w:color w:val="000000"/>
          <w:sz w:val="21"/>
        </w:rPr>
        <w:t>Benefits</w:t>
      </w:r>
    </w:p>
    <w:p>
      <w:pPr>
        <w:pStyle w:val="ListBullet"/>
        <w:spacing w:after="80"/>
      </w:pPr>
      <w:r>
        <w:rPr>
          <w:rFonts w:ascii="Aptos" w:hAnsi="Aptos"/>
          <w:color w:val="000000"/>
          <w:sz w:val="21"/>
        </w:rPr>
        <w:t>Family preparation</w:t>
      </w:r>
    </w:p>
    <w:p>
      <w:pPr>
        <w:pStyle w:val="ListBullet"/>
        <w:spacing w:after="80"/>
      </w:pPr>
      <w:r>
        <w:rPr>
          <w:rFonts w:ascii="Aptos" w:hAnsi="Aptos"/>
          <w:color w:val="000000"/>
          <w:sz w:val="21"/>
        </w:rPr>
        <w:t>Warm referrals</w:t>
      </w:r>
    </w:p>
    <w:p>
      <w:pPr>
        <w:pStyle w:val="Heading2"/>
      </w:pPr>
      <w:r>
        <w:t>Learning sequence</w:t>
      </w:r>
    </w:p>
    <w:p>
      <w:pPr>
        <w:spacing w:after="160"/>
      </w:pPr>
      <w:r>
        <w:rPr>
          <w:rFonts w:ascii="Aptos" w:hAnsi="Aptos"/>
          <w:color w:val="000000"/>
          <w:sz w:val="21"/>
        </w:rPr>
        <w:t>Start by defining the purpose of planning before release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assessment, goal setting, records transfer, benefits, family preparation, and warm referrals.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planning before release safely, and what would require consultation or a local policy check?</w:t>
      </w:r>
    </w:p>
    <w:p>
      <w:r>
        <w:br w:type="page"/>
      </w:r>
    </w:p>
    <w:p>
      <w:pPr>
        <w:pStyle w:val="Heading1"/>
      </w:pPr>
      <w:r>
        <w:t>Module 3  Community follow-up</w:t>
      </w:r>
    </w:p>
    <w:p>
      <w:r>
        <w:rPr>
          <w:rFonts w:ascii="Aptos" w:hAnsi="Aptos"/>
          <w:color w:val="000000"/>
          <w:sz w:val="22"/>
        </w:rPr>
        <w:t>This module focuses on continuity of care, peer support, crisis response, progress review, and advocacy.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Continuity of care</w:t>
      </w:r>
    </w:p>
    <w:p>
      <w:pPr>
        <w:pStyle w:val="ListBullet"/>
        <w:spacing w:after="80"/>
      </w:pPr>
      <w:r>
        <w:rPr>
          <w:rFonts w:ascii="Aptos" w:hAnsi="Aptos"/>
          <w:color w:val="000000"/>
          <w:sz w:val="21"/>
        </w:rPr>
        <w:t>Peer support</w:t>
      </w:r>
    </w:p>
    <w:p>
      <w:pPr>
        <w:pStyle w:val="ListBullet"/>
        <w:spacing w:after="80"/>
      </w:pPr>
      <w:r>
        <w:rPr>
          <w:rFonts w:ascii="Aptos" w:hAnsi="Aptos"/>
          <w:color w:val="000000"/>
          <w:sz w:val="21"/>
        </w:rPr>
        <w:t>Crisis response</w:t>
      </w:r>
    </w:p>
    <w:p>
      <w:pPr>
        <w:pStyle w:val="ListBullet"/>
        <w:spacing w:after="80"/>
      </w:pPr>
      <w:r>
        <w:rPr>
          <w:rFonts w:ascii="Aptos" w:hAnsi="Aptos"/>
          <w:color w:val="000000"/>
          <w:sz w:val="21"/>
        </w:rPr>
        <w:t>Progress review</w:t>
      </w:r>
    </w:p>
    <w:p>
      <w:pPr>
        <w:pStyle w:val="ListBullet"/>
        <w:spacing w:after="80"/>
      </w:pPr>
      <w:r>
        <w:rPr>
          <w:rFonts w:ascii="Aptos" w:hAnsi="Aptos"/>
          <w:color w:val="000000"/>
          <w:sz w:val="21"/>
        </w:rPr>
        <w:t>Advocacy</w:t>
      </w:r>
    </w:p>
    <w:p>
      <w:pPr>
        <w:pStyle w:val="Heading2"/>
      </w:pPr>
      <w:r>
        <w:t>Learning sequence</w:t>
      </w:r>
    </w:p>
    <w:p>
      <w:pPr>
        <w:spacing w:after="160"/>
      </w:pPr>
      <w:r>
        <w:rPr>
          <w:rFonts w:ascii="Aptos" w:hAnsi="Aptos"/>
          <w:color w:val="000000"/>
          <w:sz w:val="21"/>
        </w:rPr>
        <w:t>Start by defining the purpose of community follow-up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continuity of care, peer support, crisis response, progress review, and advocacy.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community follow-up safely, and what would require consultation or a local policy check?</w:t>
      </w:r>
    </w:p>
    <w:p>
      <w:r>
        <w:br w:type="page"/>
      </w:r>
    </w:p>
    <w:p>
      <w:pPr>
        <w:pStyle w:val="Heading1"/>
      </w:pPr>
      <w:r>
        <w:t>Course activity</w:t>
      </w:r>
    </w:p>
    <w:p>
      <w:r>
        <w:rPr>
          <w:rFonts w:ascii="Aptos" w:hAnsi="Aptos"/>
          <w:color w:val="000000"/>
          <w:sz w:val="21"/>
        </w:rPr>
        <w:t>Use the accompanying worksheet to apply the course sequence to a short case. Your completed activity should show what you noticed, the action you would take within your role, and what you would escalate or verify locally.</w:t>
      </w:r>
    </w:p>
    <w:p>
      <w:pPr>
        <w:pStyle w:val="Heading1"/>
      </w:pPr>
      <w:r>
        <w:t>Assessment preparation</w:t>
      </w:r>
    </w:p>
    <w:p>
      <w:pPr>
        <w:pStyle w:val="ListBullet"/>
        <w:spacing w:after="80"/>
      </w:pPr>
      <w:r>
        <w:rPr>
          <w:rFonts w:ascii="Aptos" w:hAnsi="Aptos"/>
          <w:color w:val="000000"/>
          <w:sz w:val="21"/>
        </w:rPr>
        <w:t>Review the distinction between: needs assessment.</w:t>
      </w:r>
    </w:p>
    <w:p>
      <w:pPr>
        <w:pStyle w:val="ListBullet"/>
        <w:spacing w:after="80"/>
      </w:pPr>
      <w:r>
        <w:rPr>
          <w:rFonts w:ascii="Aptos" w:hAnsi="Aptos"/>
          <w:color w:val="000000"/>
          <w:sz w:val="21"/>
        </w:rPr>
        <w:t>Review the distinction between: pre-release planning.</w:t>
      </w:r>
    </w:p>
    <w:p>
      <w:pPr>
        <w:pStyle w:val="ListBullet"/>
        <w:spacing w:after="80"/>
      </w:pPr>
      <w:r>
        <w:rPr>
          <w:rFonts w:ascii="Aptos" w:hAnsi="Aptos"/>
          <w:color w:val="000000"/>
          <w:sz w:val="21"/>
        </w:rPr>
        <w:t>Review the distinction between: continuity of care.</w:t>
      </w:r>
    </w:p>
    <w:p>
      <w:pPr>
        <w:pStyle w:val="Heading1"/>
      </w:pPr>
      <w:r>
        <w:t>References and local adaptation</w:t>
      </w:r>
    </w:p>
    <w:p>
      <w:pPr>
        <w:pStyle w:val="ListBullet"/>
        <w:spacing w:after="80"/>
      </w:pPr>
      <w:r>
        <w:rPr>
          <w:rFonts w:ascii="Aptos" w:hAnsi="Aptos"/>
          <w:color w:val="000000"/>
          <w:sz w:val="21"/>
        </w:rPr>
        <w:t>SWEEP Academy Course Content Outlines, production blueprint for this course.</w:t>
      </w:r>
    </w:p>
    <w:p>
      <w:pPr>
        <w:pStyle w:val="ListBullet"/>
        <w:spacing w:after="80"/>
      </w:pPr>
      <w:r>
        <w:rPr>
          <w:rFonts w:ascii="Aptos" w:hAnsi="Aptos"/>
          <w:color w:val="000000"/>
          <w:sz w:val="21"/>
        </w:rPr>
        <w:t>The current legislation, professional standards, safeguarding procedures, and referral directories for the delivery jurisdiction.</w:t>
      </w:r>
    </w:p>
    <w:p>
      <w:pPr>
        <w:pStyle w:val="ListBullet"/>
        <w:spacing w:after="80"/>
      </w:pPr>
      <w:r>
        <w:rPr>
          <w:rFonts w:ascii="Aptos" w:hAnsi="Aptos"/>
          <w:color w:val="000000"/>
          <w:sz w:val="21"/>
        </w:rPr>
        <w:t>The learner's employer or placement policy, supervision arrangements, and documentation standards.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Reentry Planning &amp; Community Reintegration Learner Guide</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