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Disaster Preparedness &amp; Response Planning</w:t>
      </w:r>
    </w:p>
    <w:p>
      <w:pPr>
        <w:spacing w:after="320"/>
      </w:pPr>
      <w:r>
        <w:rPr>
          <w:rFonts w:ascii="Aptos" w:hAnsi="Aptos"/>
          <w:color w:val="595959"/>
          <w:sz w:val="24"/>
        </w:rPr>
        <w:t>Learner guide  |  SWP-025  |  School of Disaster Response &amp; Crisis Intervention</w:t>
      </w:r>
    </w:p>
    <w:p>
      <w:pPr>
        <w:spacing w:after="200"/>
      </w:pPr>
      <w:r>
        <w:rPr>
          <w:rFonts w:ascii="Aptos" w:hAnsi="Aptos"/>
          <w:color w:val="000000"/>
          <w:sz w:val="23"/>
        </w:rPr>
        <w:t>This guide supports a three-part learning sequence for Disaster Preparedness &amp; Response Planning. By the end of the course, you should be able to support organisational and community readiness before and during a disaster.</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Support organisational and community readiness before and during a disaster.</w:t>
      </w:r>
    </w:p>
    <w:p>
      <w:pPr>
        <w:pStyle w:val="ListBullet"/>
        <w:spacing w:after="80"/>
      </w:pPr>
      <w:r>
        <w:rPr>
          <w:rFonts w:ascii="Aptos" w:hAnsi="Aptos"/>
          <w:color w:val="000000"/>
          <w:sz w:val="21"/>
        </w:rPr>
        <w:t>Apply the key ideas from Disaster-risk context.</w:t>
      </w:r>
    </w:p>
    <w:p>
      <w:pPr>
        <w:pStyle w:val="ListBullet"/>
        <w:spacing w:after="80"/>
      </w:pPr>
      <w:r>
        <w:rPr>
          <w:rFonts w:ascii="Aptos" w:hAnsi="Aptos"/>
          <w:color w:val="000000"/>
          <w:sz w:val="21"/>
        </w:rPr>
        <w:t>Apply the key ideas from Preparedness planning.</w:t>
      </w:r>
    </w:p>
    <w:p>
      <w:pPr>
        <w:pStyle w:val="ListBullet"/>
        <w:spacing w:after="80"/>
      </w:pPr>
      <w:r>
        <w:rPr>
          <w:rFonts w:ascii="Aptos" w:hAnsi="Aptos"/>
          <w:color w:val="000000"/>
          <w:sz w:val="21"/>
        </w:rPr>
        <w:t>Apply the key ideas from Response coordination.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Disaster-risk context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hazards, vulnerability, capacity, inclusion, and ethical preparedness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Preparedness planning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roles, communications, evacuation/shelter supports, safeguarding, and continuity plans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Response coordination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rapid needs assessment, information management, referrals, staff safety, and review</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Disaster-risk context</w:t>
      </w:r>
    </w:p>
    <w:p>
      <w:r>
        <w:rPr>
          <w:rFonts w:ascii="Aptos" w:hAnsi="Aptos"/>
          <w:color w:val="000000"/>
          <w:sz w:val="22"/>
        </w:rPr>
        <w:t>This module focuses on hazards, vulnerability, capacity, inclusion, and ethical preparedness.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Hazards</w:t>
      </w:r>
    </w:p>
    <w:p>
      <w:pPr>
        <w:pStyle w:val="ListBullet"/>
        <w:spacing w:after="80"/>
      </w:pPr>
      <w:r>
        <w:rPr>
          <w:rFonts w:ascii="Aptos" w:hAnsi="Aptos"/>
          <w:color w:val="000000"/>
          <w:sz w:val="21"/>
        </w:rPr>
        <w:t>Vulnerability</w:t>
      </w:r>
    </w:p>
    <w:p>
      <w:pPr>
        <w:pStyle w:val="ListBullet"/>
        <w:spacing w:after="80"/>
      </w:pPr>
      <w:r>
        <w:rPr>
          <w:rFonts w:ascii="Aptos" w:hAnsi="Aptos"/>
          <w:color w:val="000000"/>
          <w:sz w:val="21"/>
        </w:rPr>
        <w:t>Capacity</w:t>
      </w:r>
    </w:p>
    <w:p>
      <w:pPr>
        <w:pStyle w:val="ListBullet"/>
        <w:spacing w:after="80"/>
      </w:pPr>
      <w:r>
        <w:rPr>
          <w:rFonts w:ascii="Aptos" w:hAnsi="Aptos"/>
          <w:color w:val="000000"/>
          <w:sz w:val="21"/>
        </w:rPr>
        <w:t>Inclusion</w:t>
      </w:r>
    </w:p>
    <w:p>
      <w:pPr>
        <w:pStyle w:val="ListBullet"/>
        <w:spacing w:after="80"/>
      </w:pPr>
      <w:r>
        <w:rPr>
          <w:rFonts w:ascii="Aptos" w:hAnsi="Aptos"/>
          <w:color w:val="000000"/>
          <w:sz w:val="21"/>
        </w:rPr>
        <w:t>Ethical preparedness</w:t>
      </w:r>
    </w:p>
    <w:p>
      <w:pPr>
        <w:pStyle w:val="Heading2"/>
      </w:pPr>
      <w:r>
        <w:t>Learning sequence</w:t>
      </w:r>
    </w:p>
    <w:p>
      <w:pPr>
        <w:spacing w:after="160"/>
      </w:pPr>
      <w:r>
        <w:rPr>
          <w:rFonts w:ascii="Aptos" w:hAnsi="Aptos"/>
          <w:color w:val="000000"/>
          <w:sz w:val="21"/>
        </w:rPr>
        <w:t>Start by defining the purpose of disaster-risk context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hazards, vulnerability, capacity, inclusion, and ethical preparedness.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disaster-risk context safely, and what would require consultation or a local policy check?</w:t>
      </w:r>
    </w:p>
    <w:p>
      <w:r>
        <w:br w:type="page"/>
      </w:r>
    </w:p>
    <w:p>
      <w:pPr>
        <w:pStyle w:val="Heading1"/>
      </w:pPr>
      <w:r>
        <w:t>Module 2  Preparedness planning</w:t>
      </w:r>
    </w:p>
    <w:p>
      <w:r>
        <w:rPr>
          <w:rFonts w:ascii="Aptos" w:hAnsi="Aptos"/>
          <w:color w:val="000000"/>
          <w:sz w:val="22"/>
        </w:rPr>
        <w:t>This module focuses on roles, communications, evacuation/shelter supports, safeguarding, and continuity plans.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Roles</w:t>
      </w:r>
    </w:p>
    <w:p>
      <w:pPr>
        <w:pStyle w:val="ListBullet"/>
        <w:spacing w:after="80"/>
      </w:pPr>
      <w:r>
        <w:rPr>
          <w:rFonts w:ascii="Aptos" w:hAnsi="Aptos"/>
          <w:color w:val="000000"/>
          <w:sz w:val="21"/>
        </w:rPr>
        <w:t>Communications</w:t>
      </w:r>
    </w:p>
    <w:p>
      <w:pPr>
        <w:pStyle w:val="ListBullet"/>
        <w:spacing w:after="80"/>
      </w:pPr>
      <w:r>
        <w:rPr>
          <w:rFonts w:ascii="Aptos" w:hAnsi="Aptos"/>
          <w:color w:val="000000"/>
          <w:sz w:val="21"/>
        </w:rPr>
        <w:t>Evacuation/shelter supports</w:t>
      </w:r>
    </w:p>
    <w:p>
      <w:pPr>
        <w:pStyle w:val="ListBullet"/>
        <w:spacing w:after="80"/>
      </w:pPr>
      <w:r>
        <w:rPr>
          <w:rFonts w:ascii="Aptos" w:hAnsi="Aptos"/>
          <w:color w:val="000000"/>
          <w:sz w:val="21"/>
        </w:rPr>
        <w:t>Safeguarding</w:t>
      </w:r>
    </w:p>
    <w:p>
      <w:pPr>
        <w:pStyle w:val="ListBullet"/>
        <w:spacing w:after="80"/>
      </w:pPr>
      <w:r>
        <w:rPr>
          <w:rFonts w:ascii="Aptos" w:hAnsi="Aptos"/>
          <w:color w:val="000000"/>
          <w:sz w:val="21"/>
        </w:rPr>
        <w:t>Continuity plans</w:t>
      </w:r>
    </w:p>
    <w:p>
      <w:pPr>
        <w:pStyle w:val="Heading2"/>
      </w:pPr>
      <w:r>
        <w:t>Learning sequence</w:t>
      </w:r>
    </w:p>
    <w:p>
      <w:pPr>
        <w:spacing w:after="160"/>
      </w:pPr>
      <w:r>
        <w:rPr>
          <w:rFonts w:ascii="Aptos" w:hAnsi="Aptos"/>
          <w:color w:val="000000"/>
          <w:sz w:val="21"/>
        </w:rPr>
        <w:t>Start by defining the purpose of preparedness planning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roles, communications, evacuation/shelter supports, safeguarding, and continuity plans.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preparedness planning safely, and what would require consultation or a local policy check?</w:t>
      </w:r>
    </w:p>
    <w:p>
      <w:r>
        <w:br w:type="page"/>
      </w:r>
    </w:p>
    <w:p>
      <w:pPr>
        <w:pStyle w:val="Heading1"/>
      </w:pPr>
      <w:r>
        <w:t>Module 3  Response coordination</w:t>
      </w:r>
    </w:p>
    <w:p>
      <w:r>
        <w:rPr>
          <w:rFonts w:ascii="Aptos" w:hAnsi="Aptos"/>
          <w:color w:val="000000"/>
          <w:sz w:val="22"/>
        </w:rPr>
        <w:t>This module focuses on rapid needs assessment, information management, referrals, staff safety, and review.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Rapid needs assessment</w:t>
      </w:r>
    </w:p>
    <w:p>
      <w:pPr>
        <w:pStyle w:val="ListBullet"/>
        <w:spacing w:after="80"/>
      </w:pPr>
      <w:r>
        <w:rPr>
          <w:rFonts w:ascii="Aptos" w:hAnsi="Aptos"/>
          <w:color w:val="000000"/>
          <w:sz w:val="21"/>
        </w:rPr>
        <w:t>Information management</w:t>
      </w:r>
    </w:p>
    <w:p>
      <w:pPr>
        <w:pStyle w:val="ListBullet"/>
        <w:spacing w:after="80"/>
      </w:pPr>
      <w:r>
        <w:rPr>
          <w:rFonts w:ascii="Aptos" w:hAnsi="Aptos"/>
          <w:color w:val="000000"/>
          <w:sz w:val="21"/>
        </w:rPr>
        <w:t>Referrals</w:t>
      </w:r>
    </w:p>
    <w:p>
      <w:pPr>
        <w:pStyle w:val="ListBullet"/>
        <w:spacing w:after="80"/>
      </w:pPr>
      <w:r>
        <w:rPr>
          <w:rFonts w:ascii="Aptos" w:hAnsi="Aptos"/>
          <w:color w:val="000000"/>
          <w:sz w:val="21"/>
        </w:rPr>
        <w:t>Staff safety</w:t>
      </w:r>
    </w:p>
    <w:p>
      <w:pPr>
        <w:pStyle w:val="ListBullet"/>
        <w:spacing w:after="80"/>
      </w:pPr>
      <w:r>
        <w:rPr>
          <w:rFonts w:ascii="Aptos" w:hAnsi="Aptos"/>
          <w:color w:val="000000"/>
          <w:sz w:val="21"/>
        </w:rPr>
        <w:t>Review</w:t>
      </w:r>
    </w:p>
    <w:p>
      <w:pPr>
        <w:pStyle w:val="Heading2"/>
      </w:pPr>
      <w:r>
        <w:t>Learning sequence</w:t>
      </w:r>
    </w:p>
    <w:p>
      <w:pPr>
        <w:spacing w:after="160"/>
      </w:pPr>
      <w:r>
        <w:rPr>
          <w:rFonts w:ascii="Aptos" w:hAnsi="Aptos"/>
          <w:color w:val="000000"/>
          <w:sz w:val="21"/>
        </w:rPr>
        <w:t>Start by defining the purpose of response coordination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rapid needs assessment, information management, referrals, staff safety, and review.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response coordination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risk.</w:t>
      </w:r>
    </w:p>
    <w:p>
      <w:pPr>
        <w:pStyle w:val="ListBullet"/>
        <w:spacing w:after="80"/>
      </w:pPr>
      <w:r>
        <w:rPr>
          <w:rFonts w:ascii="Aptos" w:hAnsi="Aptos"/>
          <w:color w:val="000000"/>
          <w:sz w:val="21"/>
        </w:rPr>
        <w:t>Review the distinction between: preparedness roles.</w:t>
      </w:r>
    </w:p>
    <w:p>
      <w:pPr>
        <w:pStyle w:val="ListBullet"/>
        <w:spacing w:after="80"/>
      </w:pPr>
      <w:r>
        <w:rPr>
          <w:rFonts w:ascii="Aptos" w:hAnsi="Aptos"/>
          <w:color w:val="000000"/>
          <w:sz w:val="21"/>
        </w:rPr>
        <w:t>Review the distinction between: coordination.</w:t>
      </w:r>
    </w:p>
    <w:p>
      <w:pPr>
        <w:pStyle w:val="ListBullet"/>
        <w:spacing w:after="80"/>
      </w:pPr>
      <w:r>
        <w:rPr>
          <w:rFonts w:ascii="Aptos" w:hAnsi="Aptos"/>
          <w:color w:val="000000"/>
          <w:sz w:val="21"/>
        </w:rPr>
        <w:t>Review the distinction between: inclusion.</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Preparedness &amp; Response Planning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