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Psychological First Aid</w:t>
      </w:r>
    </w:p>
    <w:p>
      <w:pPr>
        <w:spacing w:after="320"/>
      </w:pPr>
      <w:r>
        <w:rPr>
          <w:rFonts w:ascii="Aptos" w:hAnsi="Aptos"/>
          <w:color w:val="595959"/>
          <w:sz w:val="24"/>
        </w:rPr>
        <w:t>Learner guide  |  SWP-026  |  School of Disaster Response &amp; Crisis Intervention</w:t>
      </w:r>
    </w:p>
    <w:p>
      <w:pPr>
        <w:spacing w:after="200"/>
      </w:pPr>
      <w:r>
        <w:rPr>
          <w:rFonts w:ascii="Aptos" w:hAnsi="Aptos"/>
          <w:color w:val="000000"/>
          <w:sz w:val="23"/>
        </w:rPr>
        <w:t>This guide supports a three-part learning sequence for Psychological First Aid. By the end of the course, you should be able to provide humane, practical first support after distressing events within professional limits.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Provide humane, practical first support after distressing events within professional limits.</w:t>
      </w:r>
    </w:p>
    <w:p>
      <w:pPr>
        <w:pStyle w:val="ListBullet"/>
        <w:spacing w:after="80"/>
      </w:pPr>
      <w:r>
        <w:rPr>
          <w:rFonts w:ascii="Aptos" w:hAnsi="Aptos"/>
          <w:color w:val="000000"/>
          <w:sz w:val="21"/>
        </w:rPr>
        <w:t>Apply the key ideas from What PFA is and is not.</w:t>
      </w:r>
    </w:p>
    <w:p>
      <w:pPr>
        <w:pStyle w:val="ListBullet"/>
        <w:spacing w:after="80"/>
      </w:pPr>
      <w:r>
        <w:rPr>
          <w:rFonts w:ascii="Aptos" w:hAnsi="Aptos"/>
          <w:color w:val="000000"/>
          <w:sz w:val="21"/>
        </w:rPr>
        <w:t>Apply the key ideas from Look, listen, link.</w:t>
      </w:r>
    </w:p>
    <w:p>
      <w:pPr>
        <w:pStyle w:val="ListBullet"/>
        <w:spacing w:after="80"/>
      </w:pPr>
      <w:r>
        <w:rPr>
          <w:rFonts w:ascii="Aptos" w:hAnsi="Aptos"/>
          <w:color w:val="000000"/>
          <w:sz w:val="21"/>
        </w:rPr>
        <w:t>Apply the key ideas from Referral and self-care.</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What PFA is and is not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principles, safety, dignity, culture, consent, and avoiding forced disclosure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Look, listen, link</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immediate needs, calming support, active listening, information, and practical assistance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Referral and self-care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high-risk signs, protection issues, referral, documentation, and helper wellbeing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What PFA is and is not</w:t>
      </w:r>
    </w:p>
    <w:p>
      <w:r>
        <w:rPr>
          <w:rFonts w:ascii="Aptos" w:hAnsi="Aptos"/>
          <w:color w:val="000000"/>
          <w:sz w:val="22"/>
        </w:rPr>
        <w:t>This module focuses on principles, safety, dignity, culture, consent, and avoiding forced disclosure.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Principles</w:t>
      </w:r>
    </w:p>
    <w:p>
      <w:pPr>
        <w:pStyle w:val="ListBullet"/>
        <w:spacing w:after="80"/>
      </w:pPr>
      <w:r>
        <w:rPr>
          <w:rFonts w:ascii="Aptos" w:hAnsi="Aptos"/>
          <w:color w:val="000000"/>
          <w:sz w:val="21"/>
        </w:rPr>
        <w:t>Safety</w:t>
      </w:r>
    </w:p>
    <w:p>
      <w:pPr>
        <w:pStyle w:val="ListBullet"/>
        <w:spacing w:after="80"/>
      </w:pPr>
      <w:r>
        <w:rPr>
          <w:rFonts w:ascii="Aptos" w:hAnsi="Aptos"/>
          <w:color w:val="000000"/>
          <w:sz w:val="21"/>
        </w:rPr>
        <w:t>Dignity</w:t>
      </w:r>
    </w:p>
    <w:p>
      <w:pPr>
        <w:pStyle w:val="ListBullet"/>
        <w:spacing w:after="80"/>
      </w:pPr>
      <w:r>
        <w:rPr>
          <w:rFonts w:ascii="Aptos" w:hAnsi="Aptos"/>
          <w:color w:val="000000"/>
          <w:sz w:val="21"/>
        </w:rPr>
        <w:t>Culture</w:t>
      </w:r>
    </w:p>
    <w:p>
      <w:pPr>
        <w:pStyle w:val="ListBullet"/>
        <w:spacing w:after="80"/>
      </w:pPr>
      <w:r>
        <w:rPr>
          <w:rFonts w:ascii="Aptos" w:hAnsi="Aptos"/>
          <w:color w:val="000000"/>
          <w:sz w:val="21"/>
        </w:rPr>
        <w:t>Consent</w:t>
      </w:r>
    </w:p>
    <w:p>
      <w:pPr>
        <w:pStyle w:val="ListBullet"/>
        <w:spacing w:after="80"/>
      </w:pPr>
      <w:r>
        <w:rPr>
          <w:rFonts w:ascii="Aptos" w:hAnsi="Aptos"/>
          <w:color w:val="000000"/>
          <w:sz w:val="21"/>
        </w:rPr>
        <w:t>Avoiding forced disclosure</w:t>
      </w:r>
    </w:p>
    <w:p>
      <w:pPr>
        <w:pStyle w:val="Heading2"/>
      </w:pPr>
      <w:r>
        <w:t>Learning sequence</w:t>
      </w:r>
    </w:p>
    <w:p>
      <w:pPr>
        <w:spacing w:after="160"/>
      </w:pPr>
      <w:r>
        <w:rPr>
          <w:rFonts w:ascii="Aptos" w:hAnsi="Aptos"/>
          <w:color w:val="000000"/>
          <w:sz w:val="21"/>
        </w:rPr>
        <w:t>Start by defining the purpose of what pfa is and is not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principles, safety, dignity, culture, consent, and avoiding forced disclosure.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what pfa is and is not safely, and what would require consultation or a local policy check?</w:t>
      </w:r>
    </w:p>
    <w:p>
      <w:r>
        <w:br w:type="page"/>
      </w:r>
    </w:p>
    <w:p>
      <w:pPr>
        <w:pStyle w:val="Heading1"/>
      </w:pPr>
      <w:r>
        <w:t>Module 2  Look, listen, link</w:t>
      </w:r>
    </w:p>
    <w:p>
      <w:r>
        <w:rPr>
          <w:rFonts w:ascii="Aptos" w:hAnsi="Aptos"/>
          <w:color w:val="000000"/>
          <w:sz w:val="22"/>
        </w:rPr>
        <w:t>This module focuses on immediate needs, calming support, active listening, information, and practical assistance.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Immediate needs</w:t>
      </w:r>
    </w:p>
    <w:p>
      <w:pPr>
        <w:pStyle w:val="ListBullet"/>
        <w:spacing w:after="80"/>
      </w:pPr>
      <w:r>
        <w:rPr>
          <w:rFonts w:ascii="Aptos" w:hAnsi="Aptos"/>
          <w:color w:val="000000"/>
          <w:sz w:val="21"/>
        </w:rPr>
        <w:t>Calming support</w:t>
      </w:r>
    </w:p>
    <w:p>
      <w:pPr>
        <w:pStyle w:val="ListBullet"/>
        <w:spacing w:after="80"/>
      </w:pPr>
      <w:r>
        <w:rPr>
          <w:rFonts w:ascii="Aptos" w:hAnsi="Aptos"/>
          <w:color w:val="000000"/>
          <w:sz w:val="21"/>
        </w:rPr>
        <w:t>Active listening</w:t>
      </w:r>
    </w:p>
    <w:p>
      <w:pPr>
        <w:pStyle w:val="ListBullet"/>
        <w:spacing w:after="80"/>
      </w:pPr>
      <w:r>
        <w:rPr>
          <w:rFonts w:ascii="Aptos" w:hAnsi="Aptos"/>
          <w:color w:val="000000"/>
          <w:sz w:val="21"/>
        </w:rPr>
        <w:t>Information</w:t>
      </w:r>
    </w:p>
    <w:p>
      <w:pPr>
        <w:pStyle w:val="ListBullet"/>
        <w:spacing w:after="80"/>
      </w:pPr>
      <w:r>
        <w:rPr>
          <w:rFonts w:ascii="Aptos" w:hAnsi="Aptos"/>
          <w:color w:val="000000"/>
          <w:sz w:val="21"/>
        </w:rPr>
        <w:t>Practical assistance</w:t>
      </w:r>
    </w:p>
    <w:p>
      <w:pPr>
        <w:pStyle w:val="Heading2"/>
      </w:pPr>
      <w:r>
        <w:t>Learning sequence</w:t>
      </w:r>
    </w:p>
    <w:p>
      <w:pPr>
        <w:spacing w:after="160"/>
      </w:pPr>
      <w:r>
        <w:rPr>
          <w:rFonts w:ascii="Aptos" w:hAnsi="Aptos"/>
          <w:color w:val="000000"/>
          <w:sz w:val="21"/>
        </w:rPr>
        <w:t>Start by defining the purpose of look, listen, link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immediate needs, calming support, active listening, information, and practical assistance.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look, listen, link safely, and what would require consultation or a local policy check?</w:t>
      </w:r>
    </w:p>
    <w:p>
      <w:r>
        <w:br w:type="page"/>
      </w:r>
    </w:p>
    <w:p>
      <w:pPr>
        <w:pStyle w:val="Heading1"/>
      </w:pPr>
      <w:r>
        <w:t>Module 3  Referral and self-care</w:t>
      </w:r>
    </w:p>
    <w:p>
      <w:r>
        <w:rPr>
          <w:rFonts w:ascii="Aptos" w:hAnsi="Aptos"/>
          <w:color w:val="000000"/>
          <w:sz w:val="22"/>
        </w:rPr>
        <w:t>This module focuses on high-risk signs, protection issues, referral, documentation, and helper wellbeing.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High-risk signs</w:t>
      </w:r>
    </w:p>
    <w:p>
      <w:pPr>
        <w:pStyle w:val="ListBullet"/>
        <w:spacing w:after="80"/>
      </w:pPr>
      <w:r>
        <w:rPr>
          <w:rFonts w:ascii="Aptos" w:hAnsi="Aptos"/>
          <w:color w:val="000000"/>
          <w:sz w:val="21"/>
        </w:rPr>
        <w:t>Protection issues</w:t>
      </w:r>
    </w:p>
    <w:p>
      <w:pPr>
        <w:pStyle w:val="ListBullet"/>
        <w:spacing w:after="80"/>
      </w:pPr>
      <w:r>
        <w:rPr>
          <w:rFonts w:ascii="Aptos" w:hAnsi="Aptos"/>
          <w:color w:val="000000"/>
          <w:sz w:val="21"/>
        </w:rPr>
        <w:t>Referral</w:t>
      </w:r>
    </w:p>
    <w:p>
      <w:pPr>
        <w:pStyle w:val="ListBullet"/>
        <w:spacing w:after="80"/>
      </w:pPr>
      <w:r>
        <w:rPr>
          <w:rFonts w:ascii="Aptos" w:hAnsi="Aptos"/>
          <w:color w:val="000000"/>
          <w:sz w:val="21"/>
        </w:rPr>
        <w:t>Documentation</w:t>
      </w:r>
    </w:p>
    <w:p>
      <w:pPr>
        <w:pStyle w:val="ListBullet"/>
        <w:spacing w:after="80"/>
      </w:pPr>
      <w:r>
        <w:rPr>
          <w:rFonts w:ascii="Aptos" w:hAnsi="Aptos"/>
          <w:color w:val="000000"/>
          <w:sz w:val="21"/>
        </w:rPr>
        <w:t>Helper wellbeing</w:t>
      </w:r>
    </w:p>
    <w:p>
      <w:pPr>
        <w:pStyle w:val="Heading2"/>
      </w:pPr>
      <w:r>
        <w:t>Learning sequence</w:t>
      </w:r>
    </w:p>
    <w:p>
      <w:pPr>
        <w:spacing w:after="160"/>
      </w:pPr>
      <w:r>
        <w:rPr>
          <w:rFonts w:ascii="Aptos" w:hAnsi="Aptos"/>
          <w:color w:val="000000"/>
          <w:sz w:val="21"/>
        </w:rPr>
        <w:t>Start by defining the purpose of referral and self-care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high-risk signs, protection issues, referral, documentation, and helper wellbeing.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referral and self-care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PFA principles.</w:t>
      </w:r>
    </w:p>
    <w:p>
      <w:pPr>
        <w:pStyle w:val="ListBullet"/>
        <w:spacing w:after="80"/>
      </w:pPr>
      <w:r>
        <w:rPr>
          <w:rFonts w:ascii="Aptos" w:hAnsi="Aptos"/>
          <w:color w:val="000000"/>
          <w:sz w:val="21"/>
        </w:rPr>
        <w:t>Review the distinction between: Look–Listen–Link.</w:t>
      </w:r>
    </w:p>
    <w:p>
      <w:pPr>
        <w:pStyle w:val="ListBullet"/>
        <w:spacing w:after="80"/>
      </w:pPr>
      <w:r>
        <w:rPr>
          <w:rFonts w:ascii="Aptos" w:hAnsi="Aptos"/>
          <w:color w:val="000000"/>
          <w:sz w:val="21"/>
        </w:rPr>
        <w:t>Review the distinction between: referral thresholds.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Psychological First Aid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