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Long-Term Disaster Recovery Support</w:t>
      </w:r>
    </w:p>
    <w:p>
      <w:pPr>
        <w:spacing w:after="320"/>
      </w:pPr>
      <w:r>
        <w:rPr>
          <w:rFonts w:ascii="Aptos" w:hAnsi="Aptos"/>
          <w:color w:val="595959"/>
          <w:sz w:val="24"/>
        </w:rPr>
        <w:t>Learner guide  |  SWP-027  |  School of Disaster Response &amp; Crisis Intervention</w:t>
      </w:r>
    </w:p>
    <w:p>
      <w:pPr>
        <w:spacing w:after="200"/>
      </w:pPr>
      <w:r>
        <w:rPr>
          <w:rFonts w:ascii="Aptos" w:hAnsi="Aptos"/>
          <w:color w:val="000000"/>
          <w:sz w:val="23"/>
        </w:rPr>
        <w:t>This guide supports a three-part learning sequence for Long-Term Disaster Recovery Support. By the end of the course, you should be able to support equitable long-term recovery and community resilience after an emergency.</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Support equitable long-term recovery and community resilience after an emergency.</w:t>
      </w:r>
    </w:p>
    <w:p>
      <w:pPr>
        <w:pStyle w:val="ListBullet"/>
        <w:spacing w:after="80"/>
      </w:pPr>
      <w:r>
        <w:rPr>
          <w:rFonts w:ascii="Aptos" w:hAnsi="Aptos"/>
          <w:color w:val="000000"/>
          <w:sz w:val="21"/>
        </w:rPr>
        <w:t>Apply the key ideas from Recovery over time.</w:t>
      </w:r>
    </w:p>
    <w:p>
      <w:pPr>
        <w:pStyle w:val="ListBullet"/>
        <w:spacing w:after="80"/>
      </w:pPr>
      <w:r>
        <w:rPr>
          <w:rFonts w:ascii="Aptos" w:hAnsi="Aptos"/>
          <w:color w:val="000000"/>
          <w:sz w:val="21"/>
        </w:rPr>
        <w:t>Apply the key ideas from Case and community support.</w:t>
      </w:r>
    </w:p>
    <w:p>
      <w:pPr>
        <w:pStyle w:val="ListBullet"/>
        <w:spacing w:after="80"/>
      </w:pPr>
      <w:r>
        <w:rPr>
          <w:rFonts w:ascii="Aptos" w:hAnsi="Aptos"/>
          <w:color w:val="000000"/>
          <w:sz w:val="21"/>
        </w:rPr>
        <w:t>Apply the key ideas from Resilience and evaluation.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Recovery over time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displacement, livelihoods, grief, service disruption, inequity, and community leadership</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Case and community support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housing, benefits, mental-health referrals, child protection, and participation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Resilience and evaluation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recovery indicators, feedback, preparedness learning, and sustainable partnerships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Recovery over time</w:t>
      </w:r>
    </w:p>
    <w:p>
      <w:r>
        <w:rPr>
          <w:rFonts w:ascii="Aptos" w:hAnsi="Aptos"/>
          <w:color w:val="000000"/>
          <w:sz w:val="22"/>
        </w:rPr>
        <w:t>This module focuses on displacement, livelihoods, grief, service disruption, inequity, and community leadership.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Displacement</w:t>
      </w:r>
    </w:p>
    <w:p>
      <w:pPr>
        <w:pStyle w:val="ListBullet"/>
        <w:spacing w:after="80"/>
      </w:pPr>
      <w:r>
        <w:rPr>
          <w:rFonts w:ascii="Aptos" w:hAnsi="Aptos"/>
          <w:color w:val="000000"/>
          <w:sz w:val="21"/>
        </w:rPr>
        <w:t>Livelihoods</w:t>
      </w:r>
    </w:p>
    <w:p>
      <w:pPr>
        <w:pStyle w:val="ListBullet"/>
        <w:spacing w:after="80"/>
      </w:pPr>
      <w:r>
        <w:rPr>
          <w:rFonts w:ascii="Aptos" w:hAnsi="Aptos"/>
          <w:color w:val="000000"/>
          <w:sz w:val="21"/>
        </w:rPr>
        <w:t>Grief</w:t>
      </w:r>
    </w:p>
    <w:p>
      <w:pPr>
        <w:pStyle w:val="ListBullet"/>
        <w:spacing w:after="80"/>
      </w:pPr>
      <w:r>
        <w:rPr>
          <w:rFonts w:ascii="Aptos" w:hAnsi="Aptos"/>
          <w:color w:val="000000"/>
          <w:sz w:val="21"/>
        </w:rPr>
        <w:t>Service disruption</w:t>
      </w:r>
    </w:p>
    <w:p>
      <w:pPr>
        <w:pStyle w:val="ListBullet"/>
        <w:spacing w:after="80"/>
      </w:pPr>
      <w:r>
        <w:rPr>
          <w:rFonts w:ascii="Aptos" w:hAnsi="Aptos"/>
          <w:color w:val="000000"/>
          <w:sz w:val="21"/>
        </w:rPr>
        <w:t>Inequity</w:t>
      </w:r>
    </w:p>
    <w:p>
      <w:pPr>
        <w:pStyle w:val="ListBullet"/>
        <w:spacing w:after="80"/>
      </w:pPr>
      <w:r>
        <w:rPr>
          <w:rFonts w:ascii="Aptos" w:hAnsi="Aptos"/>
          <w:color w:val="000000"/>
          <w:sz w:val="21"/>
        </w:rPr>
        <w:t>Community leadership</w:t>
      </w:r>
    </w:p>
    <w:p>
      <w:pPr>
        <w:pStyle w:val="Heading2"/>
      </w:pPr>
      <w:r>
        <w:t>Learning sequence</w:t>
      </w:r>
    </w:p>
    <w:p>
      <w:pPr>
        <w:spacing w:after="160"/>
      </w:pPr>
      <w:r>
        <w:rPr>
          <w:rFonts w:ascii="Aptos" w:hAnsi="Aptos"/>
          <w:color w:val="000000"/>
          <w:sz w:val="21"/>
        </w:rPr>
        <w:t>Start by defining the purpose of recovery over time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displacement, livelihoods, grief, service disruption, inequity, and community leadership.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recovery over time safely, and what would require consultation or a local policy check?</w:t>
      </w:r>
    </w:p>
    <w:p>
      <w:r>
        <w:br w:type="page"/>
      </w:r>
    </w:p>
    <w:p>
      <w:pPr>
        <w:pStyle w:val="Heading1"/>
      </w:pPr>
      <w:r>
        <w:t>Module 2  Case and community support</w:t>
      </w:r>
    </w:p>
    <w:p>
      <w:r>
        <w:rPr>
          <w:rFonts w:ascii="Aptos" w:hAnsi="Aptos"/>
          <w:color w:val="000000"/>
          <w:sz w:val="22"/>
        </w:rPr>
        <w:t>This module focuses on housing, benefits, mental-health referrals, child protection, and participation.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Housing</w:t>
      </w:r>
    </w:p>
    <w:p>
      <w:pPr>
        <w:pStyle w:val="ListBullet"/>
        <w:spacing w:after="80"/>
      </w:pPr>
      <w:r>
        <w:rPr>
          <w:rFonts w:ascii="Aptos" w:hAnsi="Aptos"/>
          <w:color w:val="000000"/>
          <w:sz w:val="21"/>
        </w:rPr>
        <w:t>Benefits</w:t>
      </w:r>
    </w:p>
    <w:p>
      <w:pPr>
        <w:pStyle w:val="ListBullet"/>
        <w:spacing w:after="80"/>
      </w:pPr>
      <w:r>
        <w:rPr>
          <w:rFonts w:ascii="Aptos" w:hAnsi="Aptos"/>
          <w:color w:val="000000"/>
          <w:sz w:val="21"/>
        </w:rPr>
        <w:t>Mental-health referrals</w:t>
      </w:r>
    </w:p>
    <w:p>
      <w:pPr>
        <w:pStyle w:val="ListBullet"/>
        <w:spacing w:after="80"/>
      </w:pPr>
      <w:r>
        <w:rPr>
          <w:rFonts w:ascii="Aptos" w:hAnsi="Aptos"/>
          <w:color w:val="000000"/>
          <w:sz w:val="21"/>
        </w:rPr>
        <w:t>Child protection</w:t>
      </w:r>
    </w:p>
    <w:p>
      <w:pPr>
        <w:pStyle w:val="ListBullet"/>
        <w:spacing w:after="80"/>
      </w:pPr>
      <w:r>
        <w:rPr>
          <w:rFonts w:ascii="Aptos" w:hAnsi="Aptos"/>
          <w:color w:val="000000"/>
          <w:sz w:val="21"/>
        </w:rPr>
        <w:t>Participation</w:t>
      </w:r>
    </w:p>
    <w:p>
      <w:pPr>
        <w:pStyle w:val="Heading2"/>
      </w:pPr>
      <w:r>
        <w:t>Learning sequence</w:t>
      </w:r>
    </w:p>
    <w:p>
      <w:pPr>
        <w:spacing w:after="160"/>
      </w:pPr>
      <w:r>
        <w:rPr>
          <w:rFonts w:ascii="Aptos" w:hAnsi="Aptos"/>
          <w:color w:val="000000"/>
          <w:sz w:val="21"/>
        </w:rPr>
        <w:t>Start by defining the purpose of case and community support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housing, benefits, mental-health referrals, child protection, and participation.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case and community support safely, and what would require consultation or a local policy check?</w:t>
      </w:r>
    </w:p>
    <w:p>
      <w:r>
        <w:br w:type="page"/>
      </w:r>
    </w:p>
    <w:p>
      <w:pPr>
        <w:pStyle w:val="Heading1"/>
      </w:pPr>
      <w:r>
        <w:t>Module 3  Resilience and evaluation</w:t>
      </w:r>
    </w:p>
    <w:p>
      <w:r>
        <w:rPr>
          <w:rFonts w:ascii="Aptos" w:hAnsi="Aptos"/>
          <w:color w:val="000000"/>
          <w:sz w:val="22"/>
        </w:rPr>
        <w:t>This module focuses on recovery indicators, feedback, preparedness learning, and sustainable partnerships.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Recovery indicators</w:t>
      </w:r>
    </w:p>
    <w:p>
      <w:pPr>
        <w:pStyle w:val="ListBullet"/>
        <w:spacing w:after="80"/>
      </w:pPr>
      <w:r>
        <w:rPr>
          <w:rFonts w:ascii="Aptos" w:hAnsi="Aptos"/>
          <w:color w:val="000000"/>
          <w:sz w:val="21"/>
        </w:rPr>
        <w:t>Feedback</w:t>
      </w:r>
    </w:p>
    <w:p>
      <w:pPr>
        <w:pStyle w:val="ListBullet"/>
        <w:spacing w:after="80"/>
      </w:pPr>
      <w:r>
        <w:rPr>
          <w:rFonts w:ascii="Aptos" w:hAnsi="Aptos"/>
          <w:color w:val="000000"/>
          <w:sz w:val="21"/>
        </w:rPr>
        <w:t>Preparedness learning</w:t>
      </w:r>
    </w:p>
    <w:p>
      <w:pPr>
        <w:pStyle w:val="ListBullet"/>
        <w:spacing w:after="80"/>
      </w:pPr>
      <w:r>
        <w:rPr>
          <w:rFonts w:ascii="Aptos" w:hAnsi="Aptos"/>
          <w:color w:val="000000"/>
          <w:sz w:val="21"/>
        </w:rPr>
        <w:t>Sustainable partnerships</w:t>
      </w:r>
    </w:p>
    <w:p>
      <w:pPr>
        <w:pStyle w:val="Heading2"/>
      </w:pPr>
      <w:r>
        <w:t>Learning sequence</w:t>
      </w:r>
    </w:p>
    <w:p>
      <w:pPr>
        <w:spacing w:after="160"/>
      </w:pPr>
      <w:r>
        <w:rPr>
          <w:rFonts w:ascii="Aptos" w:hAnsi="Aptos"/>
          <w:color w:val="000000"/>
          <w:sz w:val="21"/>
        </w:rPr>
        <w:t>Start by defining the purpose of resilience and evaluation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recovery indicators, feedback, preparedness learning, and sustainable partnerships.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resilience and evaluation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long-term needs.</w:t>
      </w:r>
    </w:p>
    <w:p>
      <w:pPr>
        <w:pStyle w:val="ListBullet"/>
        <w:spacing w:after="80"/>
      </w:pPr>
      <w:r>
        <w:rPr>
          <w:rFonts w:ascii="Aptos" w:hAnsi="Aptos"/>
          <w:color w:val="000000"/>
          <w:sz w:val="21"/>
        </w:rPr>
        <w:t>Review the distinction between: equity.</w:t>
      </w:r>
    </w:p>
    <w:p>
      <w:pPr>
        <w:pStyle w:val="ListBullet"/>
        <w:spacing w:after="80"/>
      </w:pPr>
      <w:r>
        <w:rPr>
          <w:rFonts w:ascii="Aptos" w:hAnsi="Aptos"/>
          <w:color w:val="000000"/>
          <w:sz w:val="21"/>
        </w:rPr>
        <w:t>Review the distinction between: coordination.</w:t>
      </w:r>
    </w:p>
    <w:p>
      <w:pPr>
        <w:pStyle w:val="ListBullet"/>
        <w:spacing w:after="80"/>
      </w:pPr>
      <w:r>
        <w:rPr>
          <w:rFonts w:ascii="Aptos" w:hAnsi="Aptos"/>
          <w:color w:val="000000"/>
          <w:sz w:val="21"/>
        </w:rPr>
        <w:t>Review the distinction between: resilience.</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Long-Term Disaster Recovery Support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