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Legislative Advocacy &amp; Coalition Building</w:t>
      </w:r>
    </w:p>
    <w:p>
      <w:pPr>
        <w:spacing w:after="320"/>
      </w:pPr>
      <w:r>
        <w:rPr>
          <w:rFonts w:ascii="Aptos" w:hAnsi="Aptos"/>
          <w:color w:val="595959"/>
          <w:sz w:val="24"/>
        </w:rPr>
        <w:t>Learner guide  |  SWP-029  |  School of Social Policy &amp; Advocacy</w:t>
      </w:r>
    </w:p>
    <w:p>
      <w:pPr>
        <w:spacing w:after="200"/>
      </w:pPr>
      <w:r>
        <w:rPr>
          <w:rFonts w:ascii="Aptos" w:hAnsi="Aptos"/>
          <w:color w:val="000000"/>
          <w:sz w:val="23"/>
        </w:rPr>
        <w:t>This guide supports a three-part learning sequence for Legislative Advocacy &amp; Coalition Building. By the end of the course, you should be able to plan ethical, evidence-informed advocacy to influence legislation and public decisions.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Plan ethical, evidence-informed advocacy to influence legislation and public decisions.</w:t>
      </w:r>
    </w:p>
    <w:p>
      <w:pPr>
        <w:pStyle w:val="ListBullet"/>
        <w:spacing w:after="80"/>
      </w:pPr>
      <w:r>
        <w:rPr>
          <w:rFonts w:ascii="Aptos" w:hAnsi="Aptos"/>
          <w:color w:val="000000"/>
          <w:sz w:val="21"/>
        </w:rPr>
        <w:t>Apply the key ideas from Legislative landscape.</w:t>
      </w:r>
    </w:p>
    <w:p>
      <w:pPr>
        <w:pStyle w:val="ListBullet"/>
        <w:spacing w:after="80"/>
      </w:pPr>
      <w:r>
        <w:rPr>
          <w:rFonts w:ascii="Aptos" w:hAnsi="Aptos"/>
          <w:color w:val="000000"/>
          <w:sz w:val="21"/>
        </w:rPr>
        <w:t>Apply the key ideas from Advocacy strategy.</w:t>
      </w:r>
    </w:p>
    <w:p>
      <w:pPr>
        <w:pStyle w:val="ListBullet"/>
        <w:spacing w:after="80"/>
      </w:pPr>
      <w:r>
        <w:rPr>
          <w:rFonts w:ascii="Aptos" w:hAnsi="Aptos"/>
          <w:color w:val="000000"/>
          <w:sz w:val="21"/>
        </w:rPr>
        <w:t>Apply the key ideas from Campaign delivery.</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Legislative landscape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how bills move, decision makers, committees, timing, and jurisdiction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Advocacy strategy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power mapping, coalition roles, messages, meetings, public engagement, and ethics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Campaign delivery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briefing decision makers, mobilising constituents, monitoring outcomes, and adaptation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Legislative landscape</w:t>
      </w:r>
    </w:p>
    <w:p>
      <w:r>
        <w:rPr>
          <w:rFonts w:ascii="Aptos" w:hAnsi="Aptos"/>
          <w:color w:val="000000"/>
          <w:sz w:val="22"/>
        </w:rPr>
        <w:t>This module focuses on how bills move, decision makers, committees, timing, and jurisdiction.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How bills move</w:t>
      </w:r>
    </w:p>
    <w:p>
      <w:pPr>
        <w:pStyle w:val="ListBullet"/>
        <w:spacing w:after="80"/>
      </w:pPr>
      <w:r>
        <w:rPr>
          <w:rFonts w:ascii="Aptos" w:hAnsi="Aptos"/>
          <w:color w:val="000000"/>
          <w:sz w:val="21"/>
        </w:rPr>
        <w:t>Decision makers</w:t>
      </w:r>
    </w:p>
    <w:p>
      <w:pPr>
        <w:pStyle w:val="ListBullet"/>
        <w:spacing w:after="80"/>
      </w:pPr>
      <w:r>
        <w:rPr>
          <w:rFonts w:ascii="Aptos" w:hAnsi="Aptos"/>
          <w:color w:val="000000"/>
          <w:sz w:val="21"/>
        </w:rPr>
        <w:t>Committees</w:t>
      </w:r>
    </w:p>
    <w:p>
      <w:pPr>
        <w:pStyle w:val="ListBullet"/>
        <w:spacing w:after="80"/>
      </w:pPr>
      <w:r>
        <w:rPr>
          <w:rFonts w:ascii="Aptos" w:hAnsi="Aptos"/>
          <w:color w:val="000000"/>
          <w:sz w:val="21"/>
        </w:rPr>
        <w:t>Timing</w:t>
      </w:r>
    </w:p>
    <w:p>
      <w:pPr>
        <w:pStyle w:val="ListBullet"/>
        <w:spacing w:after="80"/>
      </w:pPr>
      <w:r>
        <w:rPr>
          <w:rFonts w:ascii="Aptos" w:hAnsi="Aptos"/>
          <w:color w:val="000000"/>
          <w:sz w:val="21"/>
        </w:rPr>
        <w:t>Jurisdiction</w:t>
      </w:r>
    </w:p>
    <w:p>
      <w:pPr>
        <w:pStyle w:val="Heading2"/>
      </w:pPr>
      <w:r>
        <w:t>Learning sequence</w:t>
      </w:r>
    </w:p>
    <w:p>
      <w:pPr>
        <w:spacing w:after="160"/>
      </w:pPr>
      <w:r>
        <w:rPr>
          <w:rFonts w:ascii="Aptos" w:hAnsi="Aptos"/>
          <w:color w:val="000000"/>
          <w:sz w:val="21"/>
        </w:rPr>
        <w:t>Start by defining the purpose of legislative landscape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how bills move, decision makers, committees, timing, and jurisdiction.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legislative landscape safely, and what would require consultation or a local policy check?</w:t>
      </w:r>
    </w:p>
    <w:p>
      <w:r>
        <w:br w:type="page"/>
      </w:r>
    </w:p>
    <w:p>
      <w:pPr>
        <w:pStyle w:val="Heading1"/>
      </w:pPr>
      <w:r>
        <w:t>Module 2  Advocacy strategy</w:t>
      </w:r>
    </w:p>
    <w:p>
      <w:r>
        <w:rPr>
          <w:rFonts w:ascii="Aptos" w:hAnsi="Aptos"/>
          <w:color w:val="000000"/>
          <w:sz w:val="22"/>
        </w:rPr>
        <w:t>This module focuses on power mapping, coalition roles, messages, meetings, public engagement, and ethics.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Power mapping</w:t>
      </w:r>
    </w:p>
    <w:p>
      <w:pPr>
        <w:pStyle w:val="ListBullet"/>
        <w:spacing w:after="80"/>
      </w:pPr>
      <w:r>
        <w:rPr>
          <w:rFonts w:ascii="Aptos" w:hAnsi="Aptos"/>
          <w:color w:val="000000"/>
          <w:sz w:val="21"/>
        </w:rPr>
        <w:t>Coalition roles</w:t>
      </w:r>
    </w:p>
    <w:p>
      <w:pPr>
        <w:pStyle w:val="ListBullet"/>
        <w:spacing w:after="80"/>
      </w:pPr>
      <w:r>
        <w:rPr>
          <w:rFonts w:ascii="Aptos" w:hAnsi="Aptos"/>
          <w:color w:val="000000"/>
          <w:sz w:val="21"/>
        </w:rPr>
        <w:t>Messages</w:t>
      </w:r>
    </w:p>
    <w:p>
      <w:pPr>
        <w:pStyle w:val="ListBullet"/>
        <w:spacing w:after="80"/>
      </w:pPr>
      <w:r>
        <w:rPr>
          <w:rFonts w:ascii="Aptos" w:hAnsi="Aptos"/>
          <w:color w:val="000000"/>
          <w:sz w:val="21"/>
        </w:rPr>
        <w:t>Meetings</w:t>
      </w:r>
    </w:p>
    <w:p>
      <w:pPr>
        <w:pStyle w:val="ListBullet"/>
        <w:spacing w:after="80"/>
      </w:pPr>
      <w:r>
        <w:rPr>
          <w:rFonts w:ascii="Aptos" w:hAnsi="Aptos"/>
          <w:color w:val="000000"/>
          <w:sz w:val="21"/>
        </w:rPr>
        <w:t>Public engagement</w:t>
      </w:r>
    </w:p>
    <w:p>
      <w:pPr>
        <w:pStyle w:val="ListBullet"/>
        <w:spacing w:after="80"/>
      </w:pPr>
      <w:r>
        <w:rPr>
          <w:rFonts w:ascii="Aptos" w:hAnsi="Aptos"/>
          <w:color w:val="000000"/>
          <w:sz w:val="21"/>
        </w:rPr>
        <w:t>Ethics</w:t>
      </w:r>
    </w:p>
    <w:p>
      <w:pPr>
        <w:pStyle w:val="Heading2"/>
      </w:pPr>
      <w:r>
        <w:t>Learning sequence</w:t>
      </w:r>
    </w:p>
    <w:p>
      <w:pPr>
        <w:spacing w:after="160"/>
      </w:pPr>
      <w:r>
        <w:rPr>
          <w:rFonts w:ascii="Aptos" w:hAnsi="Aptos"/>
          <w:color w:val="000000"/>
          <w:sz w:val="21"/>
        </w:rPr>
        <w:t>Start by defining the purpose of advocacy strategy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power mapping, coalition roles, messages, meetings, public engagement, and ethics.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advocacy strategy safely, and what would require consultation or a local policy check?</w:t>
      </w:r>
    </w:p>
    <w:p>
      <w:r>
        <w:br w:type="page"/>
      </w:r>
    </w:p>
    <w:p>
      <w:pPr>
        <w:pStyle w:val="Heading1"/>
      </w:pPr>
      <w:r>
        <w:t>Module 3  Campaign delivery</w:t>
      </w:r>
    </w:p>
    <w:p>
      <w:r>
        <w:rPr>
          <w:rFonts w:ascii="Aptos" w:hAnsi="Aptos"/>
          <w:color w:val="000000"/>
          <w:sz w:val="22"/>
        </w:rPr>
        <w:t>This module focuses on briefing decision makers, mobilising constituents, monitoring outcomes, and adaptation.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Briefing decision makers</w:t>
      </w:r>
    </w:p>
    <w:p>
      <w:pPr>
        <w:pStyle w:val="ListBullet"/>
        <w:spacing w:after="80"/>
      </w:pPr>
      <w:r>
        <w:rPr>
          <w:rFonts w:ascii="Aptos" w:hAnsi="Aptos"/>
          <w:color w:val="000000"/>
          <w:sz w:val="21"/>
        </w:rPr>
        <w:t>Mobilising constituents</w:t>
      </w:r>
    </w:p>
    <w:p>
      <w:pPr>
        <w:pStyle w:val="ListBullet"/>
        <w:spacing w:after="80"/>
      </w:pPr>
      <w:r>
        <w:rPr>
          <w:rFonts w:ascii="Aptos" w:hAnsi="Aptos"/>
          <w:color w:val="000000"/>
          <w:sz w:val="21"/>
        </w:rPr>
        <w:t>Monitoring outcomes</w:t>
      </w:r>
    </w:p>
    <w:p>
      <w:pPr>
        <w:pStyle w:val="ListBullet"/>
        <w:spacing w:after="80"/>
      </w:pPr>
      <w:r>
        <w:rPr>
          <w:rFonts w:ascii="Aptos" w:hAnsi="Aptos"/>
          <w:color w:val="000000"/>
          <w:sz w:val="21"/>
        </w:rPr>
        <w:t>Adaptation</w:t>
      </w:r>
    </w:p>
    <w:p>
      <w:pPr>
        <w:pStyle w:val="Heading2"/>
      </w:pPr>
      <w:r>
        <w:t>Learning sequence</w:t>
      </w:r>
    </w:p>
    <w:p>
      <w:pPr>
        <w:spacing w:after="160"/>
      </w:pPr>
      <w:r>
        <w:rPr>
          <w:rFonts w:ascii="Aptos" w:hAnsi="Aptos"/>
          <w:color w:val="000000"/>
          <w:sz w:val="21"/>
        </w:rPr>
        <w:t>Start by defining the purpose of campaign delivery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briefing decision makers, mobilising constituents, monitoring outcomes, and adaptation.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campaign delivery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legislative process.</w:t>
      </w:r>
    </w:p>
    <w:p>
      <w:pPr>
        <w:pStyle w:val="ListBullet"/>
        <w:spacing w:after="80"/>
      </w:pPr>
      <w:r>
        <w:rPr>
          <w:rFonts w:ascii="Aptos" w:hAnsi="Aptos"/>
          <w:color w:val="000000"/>
          <w:sz w:val="21"/>
        </w:rPr>
        <w:t>Review the distinction between: strategy.</w:t>
      </w:r>
    </w:p>
    <w:p>
      <w:pPr>
        <w:pStyle w:val="ListBullet"/>
        <w:spacing w:after="80"/>
      </w:pPr>
      <w:r>
        <w:rPr>
          <w:rFonts w:ascii="Aptos" w:hAnsi="Aptos"/>
          <w:color w:val="000000"/>
          <w:sz w:val="21"/>
        </w:rPr>
        <w:t>Review the distinction between: coalition practice.</w:t>
      </w:r>
    </w:p>
    <w:p>
      <w:pPr>
        <w:pStyle w:val="ListBullet"/>
        <w:spacing w:after="80"/>
      </w:pPr>
      <w:r>
        <w:rPr>
          <w:rFonts w:ascii="Aptos" w:hAnsi="Aptos"/>
          <w:color w:val="000000"/>
          <w:sz w:val="21"/>
        </w:rPr>
        <w:t>Review the distinction between: ethical lobbying.</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Legislative Advocacy &amp; Coalition Building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