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Using Data to Drive Policy Change</w:t>
      </w:r>
    </w:p>
    <w:p>
      <w:pPr>
        <w:spacing w:after="320"/>
      </w:pPr>
      <w:r>
        <w:rPr>
          <w:rFonts w:ascii="Aptos" w:hAnsi="Aptos"/>
          <w:color w:val="595959"/>
          <w:sz w:val="24"/>
        </w:rPr>
        <w:t>Learner guide  |  SWP-030  |  School of Social Policy &amp; Advocacy</w:t>
      </w:r>
    </w:p>
    <w:p>
      <w:pPr>
        <w:spacing w:after="200"/>
      </w:pPr>
      <w:r>
        <w:rPr>
          <w:rFonts w:ascii="Aptos" w:hAnsi="Aptos"/>
          <w:color w:val="000000"/>
          <w:sz w:val="23"/>
        </w:rPr>
        <w:t>This guide supports a three-part learning sequence for Using Data to Drive Policy Change. By the end of the course, you should be able to turn responsible practice and community data into persuasive policy evidence.</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Turn responsible practice and community data into persuasive policy evidence.</w:t>
      </w:r>
    </w:p>
    <w:p>
      <w:pPr>
        <w:pStyle w:val="ListBullet"/>
        <w:spacing w:after="80"/>
      </w:pPr>
      <w:r>
        <w:rPr>
          <w:rFonts w:ascii="Aptos" w:hAnsi="Aptos"/>
          <w:color w:val="000000"/>
          <w:sz w:val="21"/>
        </w:rPr>
        <w:t>Apply the key ideas from Data foundations.</w:t>
      </w:r>
    </w:p>
    <w:p>
      <w:pPr>
        <w:pStyle w:val="ListBullet"/>
        <w:spacing w:after="80"/>
      </w:pPr>
      <w:r>
        <w:rPr>
          <w:rFonts w:ascii="Aptos" w:hAnsi="Aptos"/>
          <w:color w:val="000000"/>
          <w:sz w:val="21"/>
        </w:rPr>
        <w:t>Apply the key ideas from Finding the story.</w:t>
      </w:r>
    </w:p>
    <w:p>
      <w:pPr>
        <w:pStyle w:val="ListBullet"/>
        <w:spacing w:after="80"/>
      </w:pPr>
      <w:r>
        <w:rPr>
          <w:rFonts w:ascii="Aptos" w:hAnsi="Aptos"/>
          <w:color w:val="000000"/>
          <w:sz w:val="21"/>
        </w:rPr>
        <w:t>Apply the key ideas from Policy communication.</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Data foundations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quantitative/qualitative data, data quality, consent, privacy, and disaggregation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Finding the story</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trend interpretation, inequity, visualisation, lived experience, and limits of inference</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Policy communication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evidence brief, charts, recommendations, stakeholder presentation, and evaluation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Data foundations</w:t>
      </w:r>
    </w:p>
    <w:p>
      <w:r>
        <w:rPr>
          <w:rFonts w:ascii="Aptos" w:hAnsi="Aptos"/>
          <w:color w:val="000000"/>
          <w:sz w:val="22"/>
        </w:rPr>
        <w:t>This module focuses on quantitative/qualitative data, data quality, consent, privacy, and disaggregation.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Quantitative/qualitative data</w:t>
      </w:r>
    </w:p>
    <w:p>
      <w:pPr>
        <w:pStyle w:val="ListBullet"/>
        <w:spacing w:after="80"/>
      </w:pPr>
      <w:r>
        <w:rPr>
          <w:rFonts w:ascii="Aptos" w:hAnsi="Aptos"/>
          <w:color w:val="000000"/>
          <w:sz w:val="21"/>
        </w:rPr>
        <w:t>Data quality</w:t>
      </w:r>
    </w:p>
    <w:p>
      <w:pPr>
        <w:pStyle w:val="ListBullet"/>
        <w:spacing w:after="80"/>
      </w:pPr>
      <w:r>
        <w:rPr>
          <w:rFonts w:ascii="Aptos" w:hAnsi="Aptos"/>
          <w:color w:val="000000"/>
          <w:sz w:val="21"/>
        </w:rPr>
        <w:t>Consent</w:t>
      </w:r>
    </w:p>
    <w:p>
      <w:pPr>
        <w:pStyle w:val="ListBullet"/>
        <w:spacing w:after="80"/>
      </w:pPr>
      <w:r>
        <w:rPr>
          <w:rFonts w:ascii="Aptos" w:hAnsi="Aptos"/>
          <w:color w:val="000000"/>
          <w:sz w:val="21"/>
        </w:rPr>
        <w:t>Privacy</w:t>
      </w:r>
    </w:p>
    <w:p>
      <w:pPr>
        <w:pStyle w:val="ListBullet"/>
        <w:spacing w:after="80"/>
      </w:pPr>
      <w:r>
        <w:rPr>
          <w:rFonts w:ascii="Aptos" w:hAnsi="Aptos"/>
          <w:color w:val="000000"/>
          <w:sz w:val="21"/>
        </w:rPr>
        <w:t>Disaggregation</w:t>
      </w:r>
    </w:p>
    <w:p>
      <w:pPr>
        <w:pStyle w:val="Heading2"/>
      </w:pPr>
      <w:r>
        <w:t>Learning sequence</w:t>
      </w:r>
    </w:p>
    <w:p>
      <w:pPr>
        <w:spacing w:after="160"/>
      </w:pPr>
      <w:r>
        <w:rPr>
          <w:rFonts w:ascii="Aptos" w:hAnsi="Aptos"/>
          <w:color w:val="000000"/>
          <w:sz w:val="21"/>
        </w:rPr>
        <w:t>Start by defining the purpose of data foundations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quantitative/qualitative data, data quality, consent, privacy, and disaggregation.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data foundations safely, and what would require consultation or a local policy check?</w:t>
      </w:r>
    </w:p>
    <w:p>
      <w:r>
        <w:br w:type="page"/>
      </w:r>
    </w:p>
    <w:p>
      <w:pPr>
        <w:pStyle w:val="Heading1"/>
      </w:pPr>
      <w:r>
        <w:t>Module 2  Finding the story</w:t>
      </w:r>
    </w:p>
    <w:p>
      <w:r>
        <w:rPr>
          <w:rFonts w:ascii="Aptos" w:hAnsi="Aptos"/>
          <w:color w:val="000000"/>
          <w:sz w:val="22"/>
        </w:rPr>
        <w:t>This module focuses on trend interpretation, inequity, visualisation, lived experience, and limits of inference.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Trend interpretation</w:t>
      </w:r>
    </w:p>
    <w:p>
      <w:pPr>
        <w:pStyle w:val="ListBullet"/>
        <w:spacing w:after="80"/>
      </w:pPr>
      <w:r>
        <w:rPr>
          <w:rFonts w:ascii="Aptos" w:hAnsi="Aptos"/>
          <w:color w:val="000000"/>
          <w:sz w:val="21"/>
        </w:rPr>
        <w:t>Inequity</w:t>
      </w:r>
    </w:p>
    <w:p>
      <w:pPr>
        <w:pStyle w:val="ListBullet"/>
        <w:spacing w:after="80"/>
      </w:pPr>
      <w:r>
        <w:rPr>
          <w:rFonts w:ascii="Aptos" w:hAnsi="Aptos"/>
          <w:color w:val="000000"/>
          <w:sz w:val="21"/>
        </w:rPr>
        <w:t>Visualisation</w:t>
      </w:r>
    </w:p>
    <w:p>
      <w:pPr>
        <w:pStyle w:val="ListBullet"/>
        <w:spacing w:after="80"/>
      </w:pPr>
      <w:r>
        <w:rPr>
          <w:rFonts w:ascii="Aptos" w:hAnsi="Aptos"/>
          <w:color w:val="000000"/>
          <w:sz w:val="21"/>
        </w:rPr>
        <w:t>Lived experience</w:t>
      </w:r>
    </w:p>
    <w:p>
      <w:pPr>
        <w:pStyle w:val="ListBullet"/>
        <w:spacing w:after="80"/>
      </w:pPr>
      <w:r>
        <w:rPr>
          <w:rFonts w:ascii="Aptos" w:hAnsi="Aptos"/>
          <w:color w:val="000000"/>
          <w:sz w:val="21"/>
        </w:rPr>
        <w:t>Limits of inference</w:t>
      </w:r>
    </w:p>
    <w:p>
      <w:pPr>
        <w:pStyle w:val="Heading2"/>
      </w:pPr>
      <w:r>
        <w:t>Learning sequence</w:t>
      </w:r>
    </w:p>
    <w:p>
      <w:pPr>
        <w:spacing w:after="160"/>
      </w:pPr>
      <w:r>
        <w:rPr>
          <w:rFonts w:ascii="Aptos" w:hAnsi="Aptos"/>
          <w:color w:val="000000"/>
          <w:sz w:val="21"/>
        </w:rPr>
        <w:t>Start by defining the purpose of finding the story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trend interpretation, inequity, visualisation, lived experience, and limits of inference.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finding the story safely, and what would require consultation or a local policy check?</w:t>
      </w:r>
    </w:p>
    <w:p>
      <w:r>
        <w:br w:type="page"/>
      </w:r>
    </w:p>
    <w:p>
      <w:pPr>
        <w:pStyle w:val="Heading1"/>
      </w:pPr>
      <w:r>
        <w:t>Module 3  Policy communication</w:t>
      </w:r>
    </w:p>
    <w:p>
      <w:r>
        <w:rPr>
          <w:rFonts w:ascii="Aptos" w:hAnsi="Aptos"/>
          <w:color w:val="000000"/>
          <w:sz w:val="22"/>
        </w:rPr>
        <w:t>This module focuses on evidence brief, charts, recommendations, stakeholder presentation, and evaluation.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Evidence brief</w:t>
      </w:r>
    </w:p>
    <w:p>
      <w:pPr>
        <w:pStyle w:val="ListBullet"/>
        <w:spacing w:after="80"/>
      </w:pPr>
      <w:r>
        <w:rPr>
          <w:rFonts w:ascii="Aptos" w:hAnsi="Aptos"/>
          <w:color w:val="000000"/>
          <w:sz w:val="21"/>
        </w:rPr>
        <w:t>Charts</w:t>
      </w:r>
    </w:p>
    <w:p>
      <w:pPr>
        <w:pStyle w:val="ListBullet"/>
        <w:spacing w:after="80"/>
      </w:pPr>
      <w:r>
        <w:rPr>
          <w:rFonts w:ascii="Aptos" w:hAnsi="Aptos"/>
          <w:color w:val="000000"/>
          <w:sz w:val="21"/>
        </w:rPr>
        <w:t>Recommendations</w:t>
      </w:r>
    </w:p>
    <w:p>
      <w:pPr>
        <w:pStyle w:val="ListBullet"/>
        <w:spacing w:after="80"/>
      </w:pPr>
      <w:r>
        <w:rPr>
          <w:rFonts w:ascii="Aptos" w:hAnsi="Aptos"/>
          <w:color w:val="000000"/>
          <w:sz w:val="21"/>
        </w:rPr>
        <w:t>Stakeholder presentation</w:t>
      </w:r>
    </w:p>
    <w:p>
      <w:pPr>
        <w:pStyle w:val="ListBullet"/>
        <w:spacing w:after="80"/>
      </w:pPr>
      <w:r>
        <w:rPr>
          <w:rFonts w:ascii="Aptos" w:hAnsi="Aptos"/>
          <w:color w:val="000000"/>
          <w:sz w:val="21"/>
        </w:rPr>
        <w:t>Evaluation</w:t>
      </w:r>
    </w:p>
    <w:p>
      <w:pPr>
        <w:pStyle w:val="Heading2"/>
      </w:pPr>
      <w:r>
        <w:t>Learning sequence</w:t>
      </w:r>
    </w:p>
    <w:p>
      <w:pPr>
        <w:spacing w:after="160"/>
      </w:pPr>
      <w:r>
        <w:rPr>
          <w:rFonts w:ascii="Aptos" w:hAnsi="Aptos"/>
          <w:color w:val="000000"/>
          <w:sz w:val="21"/>
        </w:rPr>
        <w:t>Start by defining the purpose of policy communication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evidence brief, charts, recommendations, stakeholder presentation, and evaluation.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policy communication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data ethics.</w:t>
      </w:r>
    </w:p>
    <w:p>
      <w:pPr>
        <w:pStyle w:val="ListBullet"/>
        <w:spacing w:after="80"/>
      </w:pPr>
      <w:r>
        <w:rPr>
          <w:rFonts w:ascii="Aptos" w:hAnsi="Aptos"/>
          <w:color w:val="000000"/>
          <w:sz w:val="21"/>
        </w:rPr>
        <w:t>Review the distinction between: interpretation.</w:t>
      </w:r>
    </w:p>
    <w:p>
      <w:pPr>
        <w:pStyle w:val="ListBullet"/>
        <w:spacing w:after="80"/>
      </w:pPr>
      <w:r>
        <w:rPr>
          <w:rFonts w:ascii="Aptos" w:hAnsi="Aptos"/>
          <w:color w:val="000000"/>
          <w:sz w:val="21"/>
        </w:rPr>
        <w:t>Review the distinction between: equity.</w:t>
      </w:r>
    </w:p>
    <w:p>
      <w:pPr>
        <w:pStyle w:val="ListBullet"/>
        <w:spacing w:after="80"/>
      </w:pPr>
      <w:r>
        <w:rPr>
          <w:rFonts w:ascii="Aptos" w:hAnsi="Aptos"/>
          <w:color w:val="000000"/>
          <w:sz w:val="21"/>
        </w:rPr>
        <w:t>Review the distinction between: evidence communication.</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Data to Drive Policy Change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