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Finding the story</w:t>
      </w:r>
    </w:p>
    <w:p>
      <w:pPr>
        <w:spacing w:after="320"/>
      </w:pPr>
      <w:r>
        <w:rPr>
          <w:rFonts w:ascii="Aptos" w:hAnsi="Aptos"/>
          <w:color w:val="595959"/>
          <w:sz w:val="24"/>
        </w:rPr>
        <w:t>Video plan and transcript  |  Using Data to Drive Policy Change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finding the story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Finding the story. In this lesson, we focus on trend interpretation, inequity, visualisation, lived experience, and limits of inference. The aim is to help you connect the topic to the course outcome: Turn responsible practice and community data into persuasive policy evidence.</w:t>
      </w:r>
    </w:p>
    <w:p>
      <w:pPr>
        <w:pStyle w:val="Heading2"/>
      </w:pPr>
      <w:r>
        <w:t>Set the frame 1:00 to 3:00</w:t>
      </w:r>
    </w:p>
    <w:p>
      <w:r>
        <w:rPr>
          <w:rFonts w:ascii="Aptos" w:hAnsi="Aptos"/>
          <w:color w:val="000000"/>
          <w:sz w:val="21"/>
        </w:rPr>
        <w:t>Begin with the purpose of this work. Finding the story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trend interpretation, inequity, visualisation, lived experience, and limits of inference.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using data to drive policy change.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finding the story safely and respectfully? Use the worksheet to write a short response. The next step is to connect this learning with policy communication.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Data to Drive Policy Change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