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46464"/>
          <w:sz w:val="24"/>
        </w:rPr>
        <w:t>IBM SkillsBuild Cyber Security BootCamp 2026 | BharatCares</w:t>
        <w:br/>
      </w:r>
      <w:r>
        <w:rPr>
          <w:b/>
          <w:color w:val="102C57"/>
          <w:sz w:val="44"/>
        </w:rPr>
        <w:t>Automated Web Application Security &amp; Header Audit Scanner</w:t>
        <w:br/>
      </w:r>
      <w:r>
        <w:rPr>
          <w:i/>
          <w:color w:val="34495E"/>
          <w:sz w:val="26"/>
        </w:rPr>
        <w:t>Technical Implementation, Vulnerability Assessment &amp; Enterprise Remediation Report</w:t>
        <w:br/>
      </w:r>
    </w:p>
    <w:p>
      <w:pPr>
        <w:spacing w:after="120"/>
      </w:pPr>
    </w:p>
    <w:tbl>
      <w:tblPr>
        <w:tblW w:type="auto" w:w="0"/>
        <w:jc w:val="center"/>
        <w:tblLook w:firstColumn="1" w:firstRow="1" w:lastColumn="0" w:lastRow="0" w:noHBand="0" w:noVBand="1" w:val="04A0"/>
      </w:tblPr>
      <w:tblGrid>
        <w:gridCol w:w="4680"/>
        <w:gridCol w:w="4680"/>
      </w:tblGrid>
      <w:tr>
        <w:tc>
          <w:tcPr>
            <w:tcW w:type="dxa" w:w="4680"/>
            <w:shd w:fill="F4F6F9"/>
          </w:tcPr>
          <w:p>
            <w:r>
              <w:rPr>
                <w:b/>
                <w:color w:val="102C57"/>
              </w:rPr>
              <w:t>Student Name:</w:t>
            </w:r>
          </w:p>
        </w:tc>
        <w:tc>
          <w:tcPr>
            <w:tcW w:type="dxa" w:w="4680"/>
            <w:shd w:fill="FFFFFF"/>
          </w:tcPr>
          <w:p>
            <w:r>
              <w:t>Joydip Maiti</w:t>
            </w:r>
          </w:p>
        </w:tc>
      </w:tr>
      <w:tr>
        <w:tc>
          <w:tcPr>
            <w:tcW w:type="dxa" w:w="4680"/>
            <w:shd w:fill="F4F6F9"/>
          </w:tcPr>
          <w:p>
            <w:r>
              <w:rPr>
                <w:b/>
                <w:color w:val="102C57"/>
              </w:rPr>
              <w:t>Program / Bootcamp:</w:t>
            </w:r>
          </w:p>
        </w:tc>
        <w:tc>
          <w:tcPr>
            <w:tcW w:type="dxa" w:w="4680"/>
            <w:shd w:fill="FFFFFF"/>
          </w:tcPr>
          <w:p>
            <w:r>
              <w:t>IBM SkillsBuild Cyber Security Bootcamp 2026 (BharatCares)</w:t>
            </w:r>
          </w:p>
        </w:tc>
      </w:tr>
      <w:tr>
        <w:tc>
          <w:tcPr>
            <w:tcW w:type="dxa" w:w="4680"/>
            <w:shd w:fill="F4F6F9"/>
          </w:tcPr>
          <w:p>
            <w:r>
              <w:rPr>
                <w:b/>
                <w:color w:val="102C57"/>
              </w:rPr>
              <w:t>Specialization Track:</w:t>
            </w:r>
          </w:p>
        </w:tc>
        <w:tc>
          <w:tcPr>
            <w:tcW w:type="dxa" w:w="4680"/>
            <w:shd w:fill="FFFFFF"/>
          </w:tcPr>
          <w:p>
            <w:r>
              <w:t>Application Security &amp; Vulnerability Assessment (AppSec)</w:t>
            </w:r>
          </w:p>
        </w:tc>
      </w:tr>
      <w:tr>
        <w:tc>
          <w:tcPr>
            <w:tcW w:type="dxa" w:w="4680"/>
            <w:shd w:fill="F4F6F9"/>
          </w:tcPr>
          <w:p>
            <w:r>
              <w:rPr>
                <w:b/>
                <w:color w:val="102C57"/>
              </w:rPr>
              <w:t>Project Artifacts:</w:t>
            </w:r>
          </w:p>
        </w:tc>
        <w:tc>
          <w:tcPr>
            <w:tcW w:type="dxa" w:w="4680"/>
            <w:shd w:fill="FFFFFF"/>
          </w:tcPr>
          <w:p>
            <w:r>
              <w:t>Source Code (.py &amp; .ipynb), Requirements, Word Report, HTML/JSON Reports</w:t>
            </w:r>
          </w:p>
        </w:tc>
      </w:tr>
    </w:tbl>
    <w:p>
      <w:pPr>
        <w:spacing w:after="240"/>
      </w:pPr>
    </w:p>
    <w:p>
      <w:pPr>
        <w:pStyle w:val="Heading1"/>
      </w:pPr>
      <w:r>
        <w:rPr>
          <w:b/>
          <w:color w:val="102C57"/>
          <w:sz w:val="32"/>
        </w:rPr>
        <w:t>1. Executive Abstract</w:t>
      </w:r>
    </w:p>
    <w:p>
      <w:r>
        <w:t>Web applications represent the primary external attack surface for modern enterprises. While substantial attention is devoted to application code bugs, systemic security misconfigurations—such as missing HTTP response headers, permissive Cross-Origin Resource Sharing (CORS) rules, and unhardened session cookies—constitute over 40% of findings in OWASP Top 10 assessments (A05:2021 Security Misconfiguration). This project establishes an automated, highly extensible Python Web Application Security Scanner developed for the IBM SkillsBuild Cyber Security BootCamp 2026. The scanner evaluates endpoints against six essential defense headers, audits session cookies for 'Secure', 'HttpOnly', and 'SameSite' flags, probes CORS endpoints for arbitrary origin reflection, inspects SSL/TLS certificate chains, and outputs interactive HTML/JSON reports with tailored remediation code snippets.</w:t>
      </w:r>
    </w:p>
    <w:p>
      <w:pPr>
        <w:pStyle w:val="Heading1"/>
      </w:pPr>
      <w:r>
        <w:rPr>
          <w:b/>
          <w:color w:val="102C57"/>
          <w:sz w:val="32"/>
        </w:rPr>
        <w:t>2. Problem Statement &amp; Threat Landscape</w:t>
      </w:r>
    </w:p>
    <w:p>
      <w:r>
        <w:t>When a web server delivers an HTTP response without modern defensive headers, the client browser defaults to permissive compatibility modes. This exposes users to high-severity attack vectors:</w:t>
        <w:br/>
        <w:t>• Cross-Site Scripting (XSS): Absence of Content-Security-Policy (CSP) allows attackers to inject and execute hostile JavaScript in user sessions.</w:t>
        <w:br/>
        <w:t>• Clickjacking (UI Redressing): Omitting X-Frame-Options allows attackers to render the victim application within an invisible iframe on a malicious website, tricking users into clicking unauthorized actions.</w:t>
        <w:br/>
        <w:t>• SSL Stripping / MitM: Without HTTP Strict Transport Security (HSTS), adversaries on untrusted Wi-Fi networks can downgrade HTTPS to unencrypted HTTP.</w:t>
        <w:br/>
        <w:t>• Session Hijacking: Cookies lacking HttpOnly and Secure flags can be read via JavaScript or intercepted in transit.</w:t>
      </w:r>
    </w:p>
    <w:p>
      <w:pPr>
        <w:pStyle w:val="Heading1"/>
      </w:pPr>
      <w:r>
        <w:rPr>
          <w:b/>
          <w:color w:val="102C57"/>
          <w:sz w:val="32"/>
        </w:rPr>
        <w:t>3. Core Security Controls Evaluated</w:t>
      </w:r>
    </w:p>
    <w:p>
      <w:r>
        <w:t>The scanner evaluates the following critical HTTP security controls:</w:t>
      </w:r>
    </w:p>
    <w:tbl>
      <w:tblPr>
        <w:tblW w:type="auto" w:w="0"/>
        <w:jc w:val="center"/>
        <w:tblLook w:firstColumn="1" w:firstRow="1" w:lastColumn="0" w:lastRow="0" w:noHBand="0" w:noVBand="1" w:val="04A0"/>
      </w:tblPr>
      <w:tblGrid>
        <w:gridCol w:w="3120"/>
        <w:gridCol w:w="3120"/>
        <w:gridCol w:w="3120"/>
      </w:tblGrid>
      <w:tr>
        <w:tc>
          <w:tcPr>
            <w:tcW w:type="dxa" w:w="3120"/>
            <w:shd w:fill="102C57"/>
          </w:tcPr>
          <w:p>
            <w:r>
              <w:rPr>
                <w:b/>
                <w:color w:val="FFFFFF"/>
              </w:rPr>
              <w:t>Security Control / Header</w:t>
            </w:r>
          </w:p>
        </w:tc>
        <w:tc>
          <w:tcPr>
            <w:tcW w:type="dxa" w:w="3120"/>
            <w:shd w:fill="102C57"/>
          </w:tcPr>
          <w:p>
            <w:r>
              <w:rPr>
                <w:b/>
                <w:color w:val="FFFFFF"/>
              </w:rPr>
              <w:t>Risk Level</w:t>
            </w:r>
          </w:p>
        </w:tc>
        <w:tc>
          <w:tcPr>
            <w:tcW w:type="dxa" w:w="3120"/>
            <w:shd w:fill="102C57"/>
          </w:tcPr>
          <w:p>
            <w:r>
              <w:rPr>
                <w:b/>
                <w:color w:val="FFFFFF"/>
              </w:rPr>
              <w:t>Defensive Objective</w:t>
            </w:r>
          </w:p>
        </w:tc>
      </w:tr>
      <w:tr>
        <w:tc>
          <w:tcPr>
            <w:tcW w:type="dxa" w:w="3120"/>
            <w:shd w:fill="F9FBFD"/>
          </w:tcPr>
          <w:p>
            <w:r>
              <w:t>Strict-Transport-Security (HSTS)</w:t>
            </w:r>
          </w:p>
        </w:tc>
        <w:tc>
          <w:tcPr>
            <w:tcW w:type="dxa" w:w="3120"/>
            <w:shd w:fill="F9FBFD"/>
          </w:tcPr>
          <w:p>
            <w:r>
              <w:t>HIGH</w:t>
            </w:r>
          </w:p>
        </w:tc>
        <w:tc>
          <w:tcPr>
            <w:tcW w:type="dxa" w:w="3120"/>
            <w:shd w:fill="F9FBFD"/>
          </w:tcPr>
          <w:p>
            <w:r>
              <w:t>Mandates HTTPS, prevents SSL-stripping &amp; downgrade attacks</w:t>
            </w:r>
          </w:p>
        </w:tc>
      </w:tr>
      <w:tr>
        <w:tc>
          <w:tcPr>
            <w:tcW w:type="dxa" w:w="3120"/>
          </w:tcPr>
          <w:p>
            <w:r>
              <w:t>Content-Security-Policy (CSP)</w:t>
            </w:r>
          </w:p>
        </w:tc>
        <w:tc>
          <w:tcPr>
            <w:tcW w:type="dxa" w:w="3120"/>
          </w:tcPr>
          <w:p>
            <w:r>
              <w:t>HIGH</w:t>
            </w:r>
          </w:p>
        </w:tc>
        <w:tc>
          <w:tcPr>
            <w:tcW w:type="dxa" w:w="3120"/>
          </w:tcPr>
          <w:p>
            <w:r>
              <w:t>Restricts resource origins, primary defense against XSS</w:t>
            </w:r>
          </w:p>
        </w:tc>
      </w:tr>
      <w:tr>
        <w:tc>
          <w:tcPr>
            <w:tcW w:type="dxa" w:w="3120"/>
            <w:shd w:fill="F9FBFD"/>
          </w:tcPr>
          <w:p>
            <w:r>
              <w:t>X-Frame-Options</w:t>
            </w:r>
          </w:p>
        </w:tc>
        <w:tc>
          <w:tcPr>
            <w:tcW w:type="dxa" w:w="3120"/>
            <w:shd w:fill="F9FBFD"/>
          </w:tcPr>
          <w:p>
            <w:r>
              <w:t>MEDIUM</w:t>
            </w:r>
          </w:p>
        </w:tc>
        <w:tc>
          <w:tcPr>
            <w:tcW w:type="dxa" w:w="3120"/>
            <w:shd w:fill="F9FBFD"/>
          </w:tcPr>
          <w:p>
            <w:r>
              <w:t>Restricts framing permissions, mitigates Clickjacking</w:t>
            </w:r>
          </w:p>
        </w:tc>
      </w:tr>
      <w:tr>
        <w:tc>
          <w:tcPr>
            <w:tcW w:type="dxa" w:w="3120"/>
          </w:tcPr>
          <w:p>
            <w:r>
              <w:t>X-Content-Type-Options</w:t>
            </w:r>
          </w:p>
        </w:tc>
        <w:tc>
          <w:tcPr>
            <w:tcW w:type="dxa" w:w="3120"/>
          </w:tcPr>
          <w:p>
            <w:r>
              <w:t>LOW</w:t>
            </w:r>
          </w:p>
        </w:tc>
        <w:tc>
          <w:tcPr>
            <w:tcW w:type="dxa" w:w="3120"/>
          </w:tcPr>
          <w:p>
            <w:r>
              <w:t>Forces declared MIME types, prevents MIME confusion bugs</w:t>
            </w:r>
          </w:p>
        </w:tc>
      </w:tr>
      <w:tr>
        <w:tc>
          <w:tcPr>
            <w:tcW w:type="dxa" w:w="3120"/>
            <w:shd w:fill="F9FBFD"/>
          </w:tcPr>
          <w:p>
            <w:r>
              <w:t>Referrer-Policy</w:t>
            </w:r>
          </w:p>
        </w:tc>
        <w:tc>
          <w:tcPr>
            <w:tcW w:type="dxa" w:w="3120"/>
            <w:shd w:fill="F9FBFD"/>
          </w:tcPr>
          <w:p>
            <w:r>
              <w:t>LOW</w:t>
            </w:r>
          </w:p>
        </w:tc>
        <w:tc>
          <w:tcPr>
            <w:tcW w:type="dxa" w:w="3120"/>
            <w:shd w:fill="F9FBFD"/>
          </w:tcPr>
          <w:p>
            <w:r>
              <w:t>Limits URL path/query disclosure to third-party endpoints</w:t>
            </w:r>
          </w:p>
        </w:tc>
      </w:tr>
      <w:tr>
        <w:tc>
          <w:tcPr>
            <w:tcW w:type="dxa" w:w="3120"/>
          </w:tcPr>
          <w:p>
            <w:r>
              <w:t>Permissions-Policy</w:t>
            </w:r>
          </w:p>
        </w:tc>
        <w:tc>
          <w:tcPr>
            <w:tcW w:type="dxa" w:w="3120"/>
          </w:tcPr>
          <w:p>
            <w:r>
              <w:t>LOW</w:t>
            </w:r>
          </w:p>
        </w:tc>
        <w:tc>
          <w:tcPr>
            <w:tcW w:type="dxa" w:w="3120"/>
          </w:tcPr>
          <w:p>
            <w:r>
              <w:t>Controls browser hardware APIs (mic, camera, geolocation)</w:t>
            </w:r>
          </w:p>
        </w:tc>
      </w:tr>
    </w:tbl>
    <w:p>
      <w:pPr>
        <w:spacing w:after="240"/>
      </w:pPr>
    </w:p>
    <w:p>
      <w:pPr>
        <w:pStyle w:val="Heading1"/>
      </w:pPr>
      <w:r>
        <w:rPr>
          <w:b/>
          <w:color w:val="102C57"/>
          <w:sz w:val="32"/>
        </w:rPr>
        <w:t>4. Scanner Architecture &amp; Detection Logic</w:t>
      </w:r>
    </w:p>
    <w:p>
      <w:r>
        <w:t>The scanner operates through four decoupled inspection modules:</w:t>
        <w:br/>
        <w:t>1. Header Inspection Engine: Parses raw HTTP response headers against a rule repository, computing penalty scores for omitted defenses.</w:t>
        <w:br/>
        <w:t>2. CORS Verification Engine: Crafts custom HTTP requests bearing hostile Origin headers (https://evil-attacker-website.com) to detect insecure origin reflection and credential exposure.</w:t>
        <w:br/>
        <w:t>3. Cookie Flag Inspector: Iterates through Set-Cookie attributes, validating Secure, HttpOnly, and SameSite enforcement.</w:t>
        <w:br/>
        <w:t>4. SSL/TLS Handshake Auditor: Establishes a raw socket TLS handshake to determine cipher suite strength and certificate remaining lifespan.</w:t>
      </w:r>
    </w:p>
    <w:p>
      <w:pPr>
        <w:pStyle w:val="Heading1"/>
      </w:pPr>
      <w:r>
        <w:rPr>
          <w:b/>
          <w:color w:val="102C57"/>
          <w:sz w:val="32"/>
        </w:rPr>
        <w:t>5. Enterprise Hardening &amp; Remediation Blueprint</w:t>
      </w:r>
    </w:p>
    <w:p>
      <w:r>
        <w:t>To achieve a Grade 'A' security posture, web system engineers must configure standard web server directives as follows:</w:t>
      </w:r>
    </w:p>
    <w:p>
      <w:pPr>
        <w:pStyle w:val="ListBullet"/>
      </w:pPr>
      <w:r>
        <w:rPr>
          <w:b/>
        </w:rPr>
        <w:t>Nginx Configuration Hardening:</w:t>
        <w:br/>
      </w:r>
      <w:r>
        <w:t>add_header Strict-Transport-Security "max-age=31536000; includeSubDomains; preload" always;</w:t>
        <w:br/>
        <w:t>add_header Content-Security-Policy "default-src 'self'; script-src 'self'; style-src 'self';" always;</w:t>
        <w:br/>
        <w:t>add_header X-Frame-Options "DENY" always;</w:t>
        <w:br/>
        <w:t>add_header X-Content-Type-Options "nosniff" always;</w:t>
      </w:r>
    </w:p>
    <w:p>
      <w:pPr>
        <w:pStyle w:val="ListBullet"/>
      </w:pPr>
      <w:r>
        <w:rPr>
          <w:b/>
        </w:rPr>
        <w:t>Cookie Flag Hardening (Backend Express/Flask):</w:t>
        <w:br/>
      </w:r>
      <w:r>
        <w:t>Set-Cookie: session_id=xyz; Secure; HttpOnly; SameSite=Strict; Path=/;</w:t>
      </w:r>
    </w:p>
    <w:p>
      <w:pPr>
        <w:pStyle w:val="Heading1"/>
      </w:pPr>
      <w:r>
        <w:rPr>
          <w:b/>
          <w:color w:val="102C57"/>
          <w:sz w:val="32"/>
        </w:rPr>
        <w:t>6. Conclusion</w:t>
      </w:r>
    </w:p>
    <w:p>
      <w:r>
        <w:t>This project successfully developed an automated web application vulnerability and security header scanner for the IBM SkillsBuild Cyber Security BootCamp 2026. By automating the identification of missing defense headers, CORS flaws, and cookie weaknesses, security engineers and DevSecOps pipelines can continuously assess application posture prior to production deployment.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