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SECURITY AUDIT REPORT</w:t>
      </w:r>
    </w:p>
    <w:p>
      <w:pPr>
        <w:spacing w:after="100"/>
        <w:jc w:val="center"/>
      </w:pPr>
      <w:r>
        <w:rPr>
          <w:rFonts w:ascii="Arial" w:cs="Arial" w:eastAsia="Arial" w:hAnsi="Arial"/>
          <w:color w:val="444444"/>
          <w:sz w:val="36"/>
          <w:szCs w:val="36"/>
        </w:rPr>
        <w:t xml:space="preserve">Remit Protocol</w:t>
      </w:r>
    </w:p>
    <w:p>
      <w:pPr>
        <w:spacing w:after="600"/>
        <w:jc w:val="center"/>
      </w:pPr>
      <w:r>
        <w:rPr>
          <w:rFonts w:ascii="Arial" w:cs="Arial" w:eastAsia="Arial" w:hAnsi="Arial"/>
          <w:color w:val="666666"/>
          <w:sz w:val="24"/>
          <w:szCs w:val="24"/>
        </w:rPr>
        <w:t xml:space="preserve">Smart Contract Static Analysis &amp; Formal Verification</w:t>
      </w:r>
    </w:p>
    <w:p>
      <w:pPr>
        <w:spacing w:after="40"/>
        <w:jc w:val="center"/>
      </w:pPr>
      <w:r>
        <w:rPr>
          <w:rFonts w:ascii="Arial" w:cs="Arial" w:eastAsia="Arial" w:hAnsi="Arial"/>
          <w:color w:val="666666"/>
          <w:sz w:val="22"/>
          <w:szCs w:val="22"/>
        </w:rPr>
        <w:t xml:space="preserve">Date: March 19, 2026</w:t>
      </w:r>
    </w:p>
    <w:p>
      <w:pPr>
        <w:spacing w:after="40"/>
        <w:jc w:val="center"/>
      </w:pPr>
      <w:r>
        <w:rPr>
          <w:rFonts w:ascii="Arial" w:cs="Arial" w:eastAsia="Arial" w:hAnsi="Arial"/>
          <w:color w:val="666666"/>
          <w:sz w:val="22"/>
          <w:szCs w:val="22"/>
        </w:rPr>
        <w:t xml:space="preserve">Protocol Commit: 3edac2f</w:t>
      </w:r>
    </w:p>
    <w:p>
      <w:pPr>
        <w:spacing w:after="40"/>
        <w:jc w:val="center"/>
      </w:pPr>
      <w:r>
        <w:rPr>
          <w:rFonts w:ascii="Arial" w:cs="Arial" w:eastAsia="Arial" w:hAnsi="Arial"/>
          <w:color w:val="666666"/>
          <w:sz w:val="22"/>
          <w:szCs w:val="22"/>
        </w:rPr>
        <w:t xml:space="preserve">Repository: remit-md/protocol (public)</w:t>
      </w:r>
    </w:p>
    <w:p>
      <w:pPr>
        <w:spacing w:after="40"/>
        <w:jc w:val="center"/>
      </w:pPr>
      <w:r>
        <w:rPr>
          <w:rFonts w:ascii="Arial" w:cs="Arial" w:eastAsia="Arial" w:hAnsi="Arial"/>
          <w:color w:val="666666"/>
          <w:sz w:val="22"/>
          <w:szCs w:val="22"/>
        </w:rPr>
        <w:t xml:space="preserve">Solidity 0.8.24 | EVM: Cancun | Chain: Base (L2)</w:t>
      </w:r>
    </w:p>
    <w:p>
      <w:pPr>
        <w:spacing w:before="2000"/>
      </w:pPr>
    </w:p>
    <w:p>
      <w:pPr>
        <w:pBdr>
          <w:top w:val="single" w:color="1F4E79" w:sz="6" w:space="8"/>
        </w:pBdr>
        <w:spacing w:before="200"/>
        <w:jc w:val="center"/>
      </w:pPr>
      <w:r>
        <w:rPr>
          <w:rFonts w:ascii="Arial" w:cs="Arial" w:eastAsia="Arial" w:hAnsi="Arial"/>
          <w:b/>
          <w:bCs/>
          <w:color w:val="C00000"/>
          <w:sz w:val="20"/>
          <w:szCs w:val="20"/>
        </w:rPr>
        <w:t xml:space="preserve">CONFIDENTIAL</w:t>
      </w:r>
    </w:p>
    <w:p>
      <w:pPr>
        <w:jc w:val="center"/>
      </w:pPr>
      <w:r>
        <w:rPr>
          <w:rFonts w:ascii="Arial" w:cs="Arial" w:eastAsia="Arial" w:hAnsi="Arial"/>
          <w:color w:val="888888"/>
          <w:sz w:val="18"/>
          <w:szCs w:val="18"/>
        </w:rPr>
        <w:t xml:space="preserve">Automated analysis via Slither, Aderyn, Mythril, and Halmos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color w:val="000000"/>
          <w:sz w:val="22"/>
          <w:szCs w:val="22"/>
        </w:rPr>
        <w:t xml:space="preserve">This report consolidates findings from four automated security analysis tools run against the Remit Protocol smart contracts. The protocol implements a universal payment system for AI agents using USDC on EVM L2 chains (Base).</w:t>
      </w:r>
    </w:p>
    <w:p>
      <w:pPr>
        <w:spacing w:after="120"/>
      </w:pPr>
      <w:r>
        <w:rPr>
          <w:rFonts w:ascii="Arial" w:cs="Arial" w:eastAsia="Arial" w:hAnsi="Arial"/>
          <w:b w:val="false"/>
          <w:bCs w:val="false"/>
          <w:color w:val="000000"/>
          <w:sz w:val="22"/>
          <w:szCs w:val="22"/>
        </w:rPr>
        <w:t xml:space="preserve">The analysis covered 11 Solidity source contracts (~3,230 nSLOC) and 4 shared libraries, compiled with Solidity 0.8.24 targeting the Cancun EVM version.</w:t>
      </w:r>
    </w:p>
    <w:p>
      <w:pPr>
        <w:pStyle w:val="Heading2"/>
      </w:pPr>
      <w:r>
        <w:rPr>
          <w:rFonts w:ascii="Arial" w:cs="Arial" w:eastAsia="Arial" w:hAnsi="Arial"/>
        </w:rPr>
        <w:t xml:space="preserve">Tools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200"/>
        <w:gridCol w:w="21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Findings</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Runtime</w:t>
            </w:r>
          </w:p>
        </w:tc>
        <w:tc>
          <w:tcPr>
            <w:tcW w:type="dxa" w:w="2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CI Run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Slither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Static Analysis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min</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23289289820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Aderyn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Static Analysis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23289290812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Mythril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Symbolic Execution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BLOCKED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min</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23289292631</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Halmos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 Verification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PARTIAL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fail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~18 min</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23289291724</w:t>
            </w:r>
          </w:p>
        </w:tc>
      </w:tr>
    </w:tbl>
    <w:p>
      <w:pPr>
        <w:spacing w:after="120"/>
      </w:pPr>
      <w:r>
        <w:rPr>
          <w:rFonts w:ascii="Arial" w:cs="Arial" w:eastAsia="Arial" w:hAnsi="Arial"/>
          <w:b w:val="false"/>
          <w:bCs w:val="false"/>
          <w:color w:val="000000"/>
          <w:sz w:val="22"/>
          <w:szCs w:val="22"/>
        </w:rPr>
        <w:t xml:space="preserve"/>
      </w:r>
    </w:p>
    <w:p>
      <w:pPr>
        <w:spacing w:after="200"/>
      </w:pPr>
      <w:r>
        <w:rPr>
          <w:rFonts w:ascii="Arial" w:cs="Arial" w:eastAsia="Arial" w:hAnsi="Arial"/>
          <w:b w:val="false"/>
          <w:bCs w:val="false"/>
          <w:color w:val="000000"/>
          <w:sz w:val="22"/>
          <w:szCs w:val="22"/>
        </w:rPr>
        <w:t xml:space="preserve">After deduplication and manual triage, 2 Priority-0 (must fix before mainnet) issues were identified, along with 4 Priority-1 and 4 Priority-2 items. The vast majority of raw findings (160+) are confirmed false positives, documented in Section 5.</w:t>
      </w:r>
    </w:p>
    <w:p>
      <w:r>
        <w:br w:type="page"/>
      </w:r>
    </w:p>
    <w:p>
      <w:pPr>
        <w:pStyle w:val="Heading1"/>
      </w:pPr>
      <w:r>
        <w:rPr>
          <w:rFonts w:ascii="Arial" w:cs="Arial" w:eastAsia="Arial" w:hAnsi="Arial"/>
        </w:rPr>
        <w:t xml:space="preserve">2. Contracts in Scope</w:t>
      </w:r>
    </w:p>
    <w:p>
      <w:pPr>
        <w:pStyle w:val="Heading2"/>
      </w:pPr>
      <w:r>
        <w:rPr>
          <w:rFonts w:ascii="Arial" w:cs="Arial" w:eastAsia="Arial" w:hAnsi="Arial"/>
        </w:rPr>
        <w:t xml:space="preserve">Fund-Holding Contracts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20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Upgradeable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RemitEscrow</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Milestone-based escrow with splits, arbitration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inclusive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RemitTab</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Pre-funded spending tab with per-unit charges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inclusive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RemitStream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Lockup-linear streaming payments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inclusive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RemitBounty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Bounties with submission bonds and dispute resolution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inclusive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RemitDeposit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Refundable deposits / collateral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RemitOnrampVault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Fiat on-ramp vault (created by factory)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hardcoded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bl>
    <w:p>
      <w:pPr>
        <w:pStyle w:val="Heading2"/>
      </w:pPr>
      <w:r>
        <w:rPr>
          <w:rFonts w:ascii="Arial" w:cs="Arial" w:eastAsia="Arial" w:hAnsi="Arial"/>
        </w:rPr>
        <w:t xml:space="preserve">Infrastructure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4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Upgradeable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RemitRouter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UUPS proxy — pay-direct, pay-per-request, relayer variants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(UUPS)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RemitFeeCalculator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UUPS proxy — tiered fee calc (1% standard, 0.5% preferred)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(UUPS)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RemitKeyRegistry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EIP-712 key registration for agent wallets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RemitArbitration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resolution for escrows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OnrampVaultFactory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Factory for deploying on-ramp vaults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bl>
    <w:p>
      <w:r>
        <w:br w:type="page"/>
      </w:r>
    </w:p>
    <w:p>
      <w:pPr>
        <w:pStyle w:val="Heading1"/>
      </w:pPr>
      <w:r>
        <w:rPr>
          <w:rFonts w:ascii="Arial" w:cs="Arial" w:eastAsia="Arial" w:hAnsi="Arial"/>
        </w:rPr>
        <w:t xml:space="preserve">3. Consolidated Punch List</w:t>
      </w:r>
    </w:p>
    <w:p>
      <w:pPr>
        <w:spacing w:after="120"/>
      </w:pPr>
      <w:r>
        <w:rPr>
          <w:rFonts w:ascii="Arial" w:cs="Arial" w:eastAsia="Arial" w:hAnsi="Arial"/>
          <w:b w:val="false"/>
          <w:bCs w:val="false"/>
          <w:color w:val="000000"/>
          <w:sz w:val="22"/>
          <w:szCs w:val="22"/>
        </w:rPr>
        <w:t xml:space="preserve">Findings are deduplicated across tools and prioritized by severity and post-deployment fixability.</w:t>
      </w:r>
    </w:p>
    <w:p>
      <w:pPr>
        <w:pStyle w:val="Heading2"/>
      </w:pPr>
      <w:r>
        <w:rPr>
          <w:rFonts w:ascii="Arial" w:cs="Arial" w:eastAsia="Arial" w:hAnsi="Arial"/>
        </w:rPr>
        <w:t xml:space="preserve">P0 — Must Fix Before Mainnet</w:t>
      </w:r>
    </w:p>
    <w:p>
      <w:pPr>
        <w:spacing w:after="120"/>
      </w:pPr>
      <w:r>
        <w:rPr>
          <w:rFonts w:ascii="Arial" w:cs="Arial" w:eastAsia="Arial" w:hAnsi="Arial"/>
          <w:b/>
          <w:bCs/>
          <w:color w:val="C00000"/>
          <w:sz w:val="22"/>
          <w:szCs w:val="22"/>
        </w:rPr>
        <w:t xml:space="preserve">These affect immutable contracts. Once deployed, they cannot be patched.</w:t>
      </w:r>
    </w:p>
    <w:p>
      <w:pPr>
        <w:pStyle w:val="Heading3"/>
      </w:pPr>
      <w:r>
        <w:rPr>
          <w:rFonts w:ascii="Arial" w:cs="Arial" w:eastAsia="Arial" w:hAnsi="Arial"/>
        </w:rPr>
        <w:t xml:space="preserve">F-1: Missing Session Key Validation on 3 Relayer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 HIGH arbitrary-send-erc20 + manual review</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Contracts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RemitBounty (postBountyFor, submitBountyFor), RemitDeposit (lockDepositFor)</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Severity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 (design gap)</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 immutable contracts</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All *For() relayer functions require onlyAuthorizedRelayer, but 3 of 8 skip the secondary RemitKeyValidator._validateAndRecord() check that enforces session key delegation, spending limits, and expiry. The other 5 For-variants (Router x2, Escrow, Tab, Stream) all validate session keys consistently.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If the relayer key is compromised or third-party relayers are onboarded, session key spending limits are bypassed for bounty and deposit operations. An attacker with relayer access could drain any wallet that has approved these contracts.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_validateAndRecord(keyRegistry, poster/submitter/depositor, amount, PaymentType) to all 3 functions. 9 lines of code total.</w:t>
      </w:r>
    </w:p>
    <w:p>
      <w:pPr>
        <w:pStyle w:val="Heading3"/>
      </w:pPr>
      <w:r>
        <w:rPr>
          <w:rFonts w:ascii="Arial" w:cs="Arial" w:eastAsia="Arial" w:hAnsi="Arial"/>
        </w:rPr>
        <w:t xml:space="preserve">F-2: CEI Pattern Violations via External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 MEDIUM reentrancy-no-eth (8x) + Aderyn HIGH H-2 (7x)</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Contracts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RemitEscrow, RemitTab, RemitStream, RemitBounty, RemitDeposit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Severity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 (theoretical reentrancy)</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 immutable contracts</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Two external call vectors violate CEI (Checks-Effects-Interactions) across 15 instances:</w:t>
      </w:r>
    </w:p>
    <w:p>
      <w:pPr>
        <w:pStyle w:val="ListParagraph"/>
        <w:numPr>
          <w:ilvl w:val="0"/>
          <w:numId w:val="2"/>
        </w:numPr>
      </w:pPr>
      <w:r>
        <w:rPr>
          <w:rFonts w:ascii="Arial" w:cs="Arial" w:eastAsia="Arial" w:hAnsi="Arial"/>
          <w:sz w:val="22"/>
          <w:szCs w:val="22"/>
        </w:rPr>
        <w:t xml:space="preserve">Vector A: _validateAndRecord() calls keyRegistry externally, then state is written (8 functions)</w:t>
      </w:r>
    </w:p>
    <w:p>
      <w:pPr>
        <w:pStyle w:val="ListParagraph"/>
        <w:numPr>
          <w:ilvl w:val="0"/>
          <w:numId w:val="2"/>
        </w:numPr>
      </w:pPr>
      <w:r>
        <w:rPr>
          <w:rFonts w:ascii="Arial" w:cs="Arial" w:eastAsia="Arial" w:hAnsi="Arial"/>
          <w:sz w:val="22"/>
          <w:szCs w:val="22"/>
        </w:rPr>
        <w:t xml:space="preserve">Vector B: feeCalculator.calculateFee() called externally, then state is written (7 functions)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Theoretical reentrancy if keyRegistry or feeCalculator were compromised. Both are protocol-owned contracts. Practical risk is very low but violates best practices.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reorder (state writes before external calls, token transfers last) or add nonReentrant to all creation functions.</w:t>
      </w:r>
    </w:p>
    <w:p>
      <w:r>
        <w:br w:type="page"/>
      </w:r>
    </w:p>
    <w:p>
      <w:pPr>
        <w:pStyle w:val="Heading2"/>
      </w:pPr>
      <w:r>
        <w:rPr>
          <w:rFonts w:ascii="Arial" w:cs="Arial" w:eastAsia="Arial" w:hAnsi="Arial"/>
        </w:rPr>
        <w:t xml:space="preserve">P1 — Should Fix Before Mainnet</w:t>
      </w:r>
    </w:p>
    <w:p>
      <w:pPr>
        <w:pStyle w:val="Heading3"/>
      </w:pPr>
      <w:r>
        <w:rPr>
          <w:rFonts w:ascii="Arial" w:cs="Arial" w:eastAsia="Arial" w:hAnsi="Arial"/>
        </w:rPr>
        <w:t xml:space="preserve">F-3: Missing Events on 27 Admin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 L-11 (27 instances)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Contracts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Router, FeeCalculator, KeyRegistry, Arbitration, Stream, Tab, Bounty</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Partial — only UUPS proxies (Router, FeeCalculator)</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Functions like authorizeRelayer, revokeRelayer, authorizeEscrow, setKeyRegistry, authorizeCaller modify critical state without emitting events. This creates blind spots for the Ponder indexer and prevents audit trails.</w:t>
      </w:r>
    </w:p>
    <w:p>
      <w:pPr>
        <w:pStyle w:val="Heading3"/>
      </w:pPr>
      <w:r>
        <w:rPr>
          <w:rFonts w:ascii="Arial" w:cs="Arial" w:eastAsia="Arial" w:hAnsi="Arial"/>
        </w:rPr>
        <w:t xml:space="preserve">F-4: OnrampVaultFactory Missing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 L-7</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 immutable</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OnrampVaultFactory does not implement IOnrampVaultFactory. Add is IOnrampVaultFactory to the contract declaration.</w:t>
      </w:r>
    </w:p>
    <w:p>
      <w:pPr>
        <w:pStyle w:val="Heading3"/>
      </w:pPr>
      <w:r>
        <w:rPr>
          <w:rFonts w:ascii="Arial" w:cs="Arial" w:eastAsia="Arial" w:hAnsi="Arial"/>
        </w:rPr>
        <w:t xml:space="preserve">F-5: 9 Unused Error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 L-15 (9 instances in RemitErrors.sol)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 library only</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Dead error definitions: EscrowExpired, NonceReused, TabExpired, RateExceedsCap, DisputeWindowClosed, DelegationNotFound, DisputeBondInsufficient, ArbitratorBondInsufficient, PoolTooSmall. Some may indicate missing error paths in the contracts.</w:t>
      </w:r>
    </w:p>
    <w:p>
      <w:pPr>
        <w:pStyle w:val="Heading3"/>
      </w:pPr>
      <w:r>
        <w:rPr>
          <w:rFonts w:ascii="Arial" w:cs="Arial" w:eastAsia="Arial" w:hAnsi="Arial"/>
        </w:rPr>
        <w:t xml:space="preserve">F-6: Router.setKeyRegistry Missing Zero-Address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Source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 L-12</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Post-Deploy Fix</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 UUPS proxy</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Setting keyRegistry to address(0) disables all session key validation across the protocol. Add require(newKeyRegistry != address(0)).</w:t>
      </w:r>
    </w:p>
    <w:p>
      <w:pPr>
        <w:pStyle w:val="Heading2"/>
      </w:pPr>
      <w:r>
        <w:rPr>
          <w:rFonts w:ascii="Arial" w:cs="Arial" w:eastAsia="Arial" w:hAnsi="Arial"/>
        </w:rPr>
        <w:t xml:space="preserve">P2 — Nice to Have</w:t>
      </w:r>
    </w:p>
    <w:p>
      <w:pPr>
        <w:pStyle w:val="Heading3"/>
      </w:pPr>
      <w:r>
        <w:rPr>
          <w:rFonts w:ascii="Arial" w:cs="Arial" w:eastAsia="Arial" w:hAnsi="Arial"/>
        </w:rPr>
        <w:t xml:space="preserve">F-7: Variable Shadowing in Router.initialize()</w:t>
      </w:r>
    </w:p>
    <w:p>
      <w:pPr>
        <w:spacing w:after="120"/>
      </w:pPr>
      <w:r>
        <w:rPr>
          <w:rFonts w:ascii="Arial" w:cs="Arial" w:eastAsia="Arial" w:hAnsi="Arial"/>
          <w:b w:val="false"/>
          <w:bCs w:val="false"/>
          <w:color w:val="000000"/>
          <w:sz w:val="22"/>
          <w:szCs w:val="22"/>
        </w:rPr>
        <w:t xml:space="preserve">Source: Aderyn L-6 (4 instances). Local variables usdc, feeCalculator, protocolAdmin, feeRecipient shadow storage variables. Rename locals or use different naming convention. Fixable via UUPS upgrade.</w:t>
      </w:r>
    </w:p>
    <w:p>
      <w:pPr>
        <w:pStyle w:val="Heading3"/>
      </w:pPr>
      <w:r>
        <w:rPr>
          <w:rFonts w:ascii="Arial" w:cs="Arial" w:eastAsia="Arial" w:hAnsi="Arial"/>
        </w:rPr>
        <w:t xml:space="preserve">F-8: ETH Locked in UUPS Proxies</w:t>
      </w:r>
    </w:p>
    <w:p>
      <w:pPr>
        <w:spacing w:after="120"/>
      </w:pPr>
      <w:r>
        <w:rPr>
          <w:rFonts w:ascii="Arial" w:cs="Arial" w:eastAsia="Arial" w:hAnsi="Arial"/>
          <w:b w:val="false"/>
          <w:bCs w:val="false"/>
          <w:color w:val="000000"/>
          <w:sz w:val="22"/>
          <w:szCs w:val="22"/>
        </w:rPr>
        <w:t xml:space="preserve">Source: Aderyn H-1 (2 instances). RemitRouter and RemitFeeCalculator inherit UUPSUpgradeable which has a receive() fallback. ETH sent accidentally is permanently locked. Very low risk (USDC-only contracts). Add receive() external payable { revert(); } or a rescue function. Fixable via UUPS upgrade.</w:t>
      </w:r>
    </w:p>
    <w:p>
      <w:pPr>
        <w:pStyle w:val="Heading3"/>
      </w:pPr>
      <w:r>
        <w:rPr>
          <w:rFonts w:ascii="Arial" w:cs="Arial" w:eastAsia="Arial" w:hAnsi="Arial"/>
        </w:rPr>
        <w:t xml:space="preserve">F-9: Magic Numbers</w:t>
      </w:r>
    </w:p>
    <w:p>
      <w:pPr>
        <w:spacing w:after="120"/>
      </w:pPr>
      <w:r>
        <w:rPr>
          <w:rFonts w:ascii="Arial" w:cs="Arial" w:eastAsia="Arial" w:hAnsi="Arial"/>
          <w:b w:val="false"/>
          <w:bCs w:val="false"/>
          <w:color w:val="000000"/>
          <w:sz w:val="22"/>
          <w:szCs w:val="22"/>
        </w:rPr>
        <w:t xml:space="preserve">Source: Aderyn L-5 (28 instances). Numeric literals like 10_000, 86400, 100, 146097 used directly. Extract to named constants in RemitTypes for readability. Not fixable on immutable contracts.</w:t>
      </w:r>
    </w:p>
    <w:p>
      <w:pPr>
        <w:pStyle w:val="Heading3"/>
      </w:pPr>
      <w:r>
        <w:rPr>
          <w:rFonts w:ascii="Arial" w:cs="Arial" w:eastAsia="Arial" w:hAnsi="Arial"/>
        </w:rPr>
        <w:t xml:space="preserve">F-10: Unused Import</w:t>
      </w:r>
    </w:p>
    <w:p>
      <w:pPr>
        <w:spacing w:after="120"/>
      </w:pPr>
      <w:r>
        <w:rPr>
          <w:rFonts w:ascii="Arial" w:cs="Arial" w:eastAsia="Arial" w:hAnsi="Arial"/>
          <w:b w:val="false"/>
          <w:bCs w:val="false"/>
          <w:color w:val="000000"/>
          <w:sz w:val="22"/>
          <w:szCs w:val="22"/>
        </w:rPr>
        <w:t xml:space="preserve">Source: Aderyn L-16. RemitTypes imported in IRemitKeyRegistry but not used. Remove the import.</w:t>
      </w:r>
    </w:p>
    <w:p>
      <w:r>
        <w:br w:type="page"/>
      </w:r>
    </w:p>
    <w:p>
      <w:pPr>
        <w:pStyle w:val="Heading1"/>
      </w:pPr>
      <w:r>
        <w:rPr>
          <w:rFonts w:ascii="Arial" w:cs="Arial" w:eastAsia="Arial" w:hAnsi="Arial"/>
        </w:rPr>
        <w:t xml:space="preserve">4. Formal Verification Results (Halmos)</w:t>
      </w:r>
    </w:p>
    <w:p>
      <w:pPr>
        <w:spacing w:after="120"/>
      </w:pPr>
      <w:r>
        <w:rPr>
          <w:rFonts w:ascii="Arial" w:cs="Arial" w:eastAsia="Arial" w:hAnsi="Arial"/>
          <w:b w:val="false"/>
          <w:bCs w:val="false"/>
          <w:color w:val="000000"/>
          <w:sz w:val="22"/>
          <w:szCs w:val="22"/>
        </w:rPr>
        <w:t xml:space="preserve">Halmos ran 5 symbolic proofs from test/halmos/RemitSymbolicProofs.sol against the full contract suite.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200"/>
        <w:gridCol w:w="2160"/>
      </w:tblGrid>
      <w:tr>
        <w:tc>
          <w:tcPr>
            <w:tcW w:type="dxa" w:w="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2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Fee correctness: fee + payout == amount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FeeCalculator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ED7D31"/>
                <w:sz w:val="18"/>
                <w:szCs w:val="18"/>
              </w:rPr>
              <w:t xml:space="preserve">TIMEOUT</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Solver exceeded 300s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Fund conservation: payee + fee == escrowed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Escrow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ED7D31"/>
                <w:sz w:val="18"/>
                <w:szCs w:val="18"/>
              </w:rPr>
              <w:t xml:space="preserve">TIMEOUT</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Solver exceeded 300s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double-settle: 2nd release reverts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Escrow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ERROR</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expectRevert unsupported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Tab locks exact amount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Tab</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00000"/>
                <w:sz w:val="18"/>
                <w:szCs w:val="18"/>
              </w:rPr>
              <w:t xml:space="preserve">FAIL</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Counterexample found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Fee oracle = 1% formula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FeeCalculator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Proven for all inputs</w:t>
            </w:r>
          </w:p>
        </w:tc>
      </w:tr>
    </w:tbl>
    <w:p>
      <w:pPr>
        <w:pStyle w:val="Heading2"/>
      </w:pPr>
      <w:r>
        <w:rPr>
          <w:rFonts w:ascii="Arial" w:cs="Arial" w:eastAsia="Arial" w:hAnsi="Arial"/>
        </w:rPr>
        <w:t xml:space="preserve">P4 Counterexample: Tab Open Lock Amount</w:t>
      </w:r>
    </w:p>
    <w:p>
      <w:pPr>
        <w:spacing w:after="120"/>
      </w:pPr>
      <w:r>
        <w:rPr>
          <w:rFonts w:ascii="Arial" w:cs="Arial" w:eastAsia="Arial" w:hAnsi="Arial"/>
          <w:b w:val="false"/>
          <w:bCs w:val="false"/>
          <w:color w:val="000000"/>
          <w:sz w:val="22"/>
          <w:szCs w:val="22"/>
        </w:rPr>
        <w:t xml:space="preserve">Halmos found a counterexample for check_tabOpenLocksExactAmount:</w:t>
      </w:r>
    </w:p>
    <w:p>
      <w:pPr>
        <w:shd w:fill="F2F2F2" w:val="clear"/>
        <w:spacing w:after="120"/>
        <w:ind w:left="360"/>
      </w:pPr>
      <w:r>
        <w:rPr>
          <w:rFonts w:ascii="Consolas" w:cs="Consolas" w:eastAsia="Consolas" w:hAnsi="Consolas"/>
          <w:sz w:val="20"/>
          <w:szCs w:val="20"/>
        </w:rPr>
        <w:t xml:space="preserve">limit  = 0x200000000 (8,589,934,592 = ~$8,589.93 USDC)</w:t>
      </w:r>
    </w:p>
    <w:p>
      <w:pPr>
        <w:shd w:fill="F2F2F2" w:val="clear"/>
        <w:spacing w:after="120"/>
        <w:ind w:left="360"/>
      </w:pPr>
      <w:r>
        <w:rPr>
          <w:rFonts w:ascii="Consolas" w:cs="Consolas" w:eastAsia="Consolas" w:hAnsi="Consolas"/>
          <w:sz w:val="20"/>
          <w:szCs w:val="20"/>
        </w:rPr>
        <w:t xml:space="preserve">perUnit = 0x200000000 (same value)</w:t>
      </w:r>
    </w:p>
    <w:p>
      <w:pPr>
        <w:spacing w:after="120"/>
      </w:pPr>
      <w:r>
        <w:rPr>
          <w:rFonts w:ascii="Arial" w:cs="Arial" w:eastAsia="Arial" w:hAnsi="Arial"/>
          <w:b w:val="false"/>
          <w:bCs w:val="false"/>
          <w:color w:val="000000"/>
          <w:sz w:val="22"/>
          <w:szCs w:val="22"/>
        </w:rPr>
        <w:t xml:space="preserve">This counterexample indicates that when limit equals perUnit at this specific uint96 boundary value, the tab may not lock exactly the expected amount. This requires further investigation to determine if it is a contract bug or a test setup issue (e.g., MockFeeCalculator interaction at this boundary).</w:t>
      </w:r>
    </w:p>
    <w:p>
      <w:pPr>
        <w:pStyle w:val="Heading2"/>
      </w:pPr>
      <w:r>
        <w:rPr>
          <w:rFonts w:ascii="Arial" w:cs="Arial" w:eastAsia="Arial" w:hAnsi="Arial"/>
        </w:rPr>
        <w:t xml:space="preserve">Halmos Recommendations</w:t>
      </w:r>
    </w:p>
    <w:p>
      <w:pPr>
        <w:pStyle w:val="ListParagraph"/>
        <w:numPr>
          <w:ilvl w:val="0"/>
          <w:numId w:val="2"/>
        </w:numPr>
      </w:pPr>
      <w:r>
        <w:rPr>
          <w:rFonts w:ascii="Arial" w:cs="Arial" w:eastAsia="Arial" w:hAnsi="Arial"/>
          <w:sz w:val="22"/>
          <w:szCs w:val="22"/>
        </w:rPr>
        <w:t xml:space="preserve">Investigate P4 counterexample against production RemitTab contract</w:t>
      </w:r>
    </w:p>
    <w:p>
      <w:pPr>
        <w:pStyle w:val="ListParagraph"/>
        <w:numPr>
          <w:ilvl w:val="0"/>
          <w:numId w:val="2"/>
        </w:numPr>
      </w:pPr>
      <w:r>
        <w:rPr>
          <w:rFonts w:ascii="Arial" w:cs="Arial" w:eastAsia="Arial" w:hAnsi="Arial"/>
          <w:sz w:val="22"/>
          <w:szCs w:val="22"/>
        </w:rPr>
        <w:t xml:space="preserve">Rewrite P3 without vm.expectRevert() (use try/catch pattern for Halmos compatibility)</w:t>
      </w:r>
    </w:p>
    <w:p>
      <w:pPr>
        <w:pStyle w:val="ListParagraph"/>
        <w:numPr>
          <w:ilvl w:val="0"/>
          <w:numId w:val="2"/>
        </w:numPr>
      </w:pPr>
      <w:r>
        <w:rPr>
          <w:rFonts w:ascii="Arial" w:cs="Arial" w:eastAsia="Arial" w:hAnsi="Arial"/>
          <w:sz w:val="22"/>
          <w:szCs w:val="22"/>
        </w:rPr>
        <w:t xml:space="preserve">Increase solver timeout to 600s+ for P1/P2 or simplify proof structure</w:t>
      </w:r>
    </w:p>
    <w:p>
      <w:pPr>
        <w:pStyle w:val="ListParagraph"/>
        <w:numPr>
          <w:ilvl w:val="0"/>
          <w:numId w:val="2"/>
        </w:numPr>
      </w:pPr>
      <w:r>
        <w:rPr>
          <w:rFonts w:ascii="Arial" w:cs="Arial" w:eastAsia="Arial" w:hAnsi="Arial"/>
          <w:sz w:val="22"/>
          <w:szCs w:val="22"/>
        </w:rPr>
        <w:t xml:space="preserve">Add proofs for Stream (fund conservation), Bounty (no double-award), Deposit (no double-settle)</w:t>
      </w:r>
    </w:p>
    <w:p>
      <w:r>
        <w:br w:type="page"/>
      </w:r>
    </w:p>
    <w:p>
      <w:pPr>
        <w:pStyle w:val="Heading1"/>
      </w:pPr>
      <w:r>
        <w:rPr>
          <w:rFonts w:ascii="Arial" w:cs="Arial" w:eastAsia="Arial" w:hAnsi="Arial"/>
        </w:rPr>
        <w:t xml:space="preserve">5. Suppressed Findings (False Positives)</w:t>
      </w:r>
    </w:p>
    <w:p>
      <w:pPr>
        <w:spacing w:after="120"/>
      </w:pPr>
      <w:r>
        <w:rPr>
          <w:rFonts w:ascii="Arial" w:cs="Arial" w:eastAsia="Arial" w:hAnsi="Arial"/>
          <w:b w:val="false"/>
          <w:bCs w:val="false"/>
          <w:color w:val="000000"/>
          <w:sz w:val="22"/>
          <w:szCs w:val="22"/>
        </w:rPr>
        <w:t xml:space="preserve">The following findings were reviewed and determined to be false positives or acceptable design decisions. These should be added to tool-specific triage configurations to reduce noise in future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800"/>
        <w:gridCol w:w="436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arbitrary-send-erc20</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By design — relayer pattern uses transferFrom(parameter)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divide-before-multiply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Hinnant civil date algorithm, mathematically correct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incorrect-equality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ERC-20 exact transfers; == 0 is correct for USDC</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uninitialized-local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Solidity defaults uint to 0; correct initial value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Core business logic; L2 manipulation is ~1 second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reentrancy-benign/events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Non-exploitable state updates and event ordering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naming-convention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Intentional underscore prefix to avoid shadowing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unused-state (__gap)</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 UUPS storage gap pattern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Slither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cyclomatic-complexity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resolution is inherently complex</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Centralization Risk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Acknowledged — protocol is admin-controlled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PUSH0 Opcode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Base L2 supports Shanghai (PUSH0 native)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Unspecific Pragma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Style preference; foundry.toml pins version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Empty Block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_authorizeUpgrade — standard UUPS pattern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Large Numeric Literal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USDC decimals and BPS constants, intentional</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Loop require/revert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Fail-fast validation on milestone/split arrays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Aderyn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Costly Loop / Modifier Once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Bounded by max 10 items; modifier is fine</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bCs/>
          <w:color w:val="000000"/>
          <w:sz w:val="22"/>
          <w:szCs w:val="22"/>
        </w:rPr>
        <w:t xml:space="preserve">Total suppressed: 198 findings across 17 check categories.</w:t>
      </w:r>
    </w:p>
    <w:p>
      <w:r>
        <w:br w:type="page"/>
      </w:r>
    </w:p>
    <w:p>
      <w:pPr>
        <w:pStyle w:val="Heading1"/>
      </w:pPr>
      <w:r>
        <w:rPr>
          <w:rFonts w:ascii="Arial" w:cs="Arial" w:eastAsia="Arial" w:hAnsi="Arial"/>
        </w:rPr>
        <w:t xml:space="preserve">6. Tooling Issues</w:t>
      </w:r>
    </w:p>
    <w:p>
      <w:pPr>
        <w:spacing w:after="120"/>
      </w:pPr>
      <w:r>
        <w:rPr>
          <w:rFonts w:ascii="Arial" w:cs="Arial" w:eastAsia="Arial" w:hAnsi="Arial"/>
          <w:b w:val="false"/>
          <w:bCs w:val="false"/>
          <w:color w:val="000000"/>
          <w:sz w:val="22"/>
          <w:szCs w:val="22"/>
        </w:rPr>
        <w:t xml:space="preserve">Two tools encountered compatibility issues that prevented full analysis:</w:t>
      </w:r>
    </w:p>
    <w:p>
      <w:pPr>
        <w:pStyle w:val="Heading2"/>
      </w:pPr>
      <w:r>
        <w:rPr>
          <w:rFonts w:ascii="Arial" w:cs="Arial" w:eastAsia="Arial" w:hAnsi="Arial"/>
        </w:rPr>
        <w:t xml:space="preserve">Mythril: solc-json Configuration</w:t>
      </w:r>
    </w:p>
    <w:p>
      <w:pPr>
        <w:spacing w:after="120"/>
      </w:pPr>
      <w:r>
        <w:rPr>
          <w:rFonts w:ascii="Arial" w:cs="Arial" w:eastAsia="Arial" w:hAnsi="Arial"/>
          <w:b w:val="false"/>
          <w:bCs w:val="false"/>
          <w:color w:val="000000"/>
          <w:sz w:val="22"/>
          <w:szCs w:val="22"/>
        </w:rPr>
        <w:t xml:space="preserve">Mythril failed on all 11 contracts with a JSONDecodeError when processing the --solc-json flag with process substitution. The remappings were correctly generated by forge remappings but Mythril could not parse the dynamically-generated JSON. This is a workflow configuration issue, not a security finding. Future fix: write the JSON to a temp file instead of using process substitution.</w:t>
      </w:r>
    </w:p>
    <w:p>
      <w:pPr>
        <w:pStyle w:val="Heading2"/>
      </w:pPr>
      <w:r>
        <w:rPr>
          <w:rFonts w:ascii="Arial" w:cs="Arial" w:eastAsia="Arial" w:hAnsi="Arial"/>
        </w:rPr>
        <w:t xml:space="preserve">Halmos: Solver Timeouts &amp; Cheatcode Support</w:t>
      </w:r>
    </w:p>
    <w:p>
      <w:pPr>
        <w:spacing w:after="120"/>
      </w:pPr>
      <w:r>
        <w:rPr>
          <w:rFonts w:ascii="Arial" w:cs="Arial" w:eastAsia="Arial" w:hAnsi="Arial"/>
          <w:b w:val="false"/>
          <w:bCs w:val="false"/>
          <w:color w:val="000000"/>
          <w:sz w:val="22"/>
          <w:szCs w:val="22"/>
        </w:rPr>
        <w:t xml:space="preserve">Two proofs (P1, P2) timed out at the 300-second solver limit. P3 errored because Halmos does not support vm.expectRevert() cheatcode. These are tool limitations, not security findings. Future fix: increase timeout, use try/catch pattern.</w:t>
      </w:r>
    </w:p>
    <w:p>
      <w:r>
        <w:br w:type="page"/>
      </w:r>
    </w:p>
    <w:p>
      <w:pPr>
        <w:pStyle w:val="Heading1"/>
      </w:pPr>
      <w:r>
        <w:rPr>
          <w:rFonts w:ascii="Arial" w:cs="Arial" w:eastAsia="Arial" w:hAnsi="Arial"/>
        </w:rPr>
        <w:t xml:space="preserve">7. Summary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660"/>
        <w:gridCol w:w="2000"/>
        <w:gridCol w:w="2500"/>
      </w:tblGrid>
      <w:t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3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Contracts</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Fix Post-Deploy?</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F-1</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00000"/>
                <w:sz w:val="18"/>
                <w:szCs w:val="18"/>
              </w:rPr>
              <w:t xml:space="preserve">P0</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_validateAndRecord on 3 For-variants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Bounty, Deposit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NO (immutable)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00000"/>
                <w:sz w:val="18"/>
                <w:szCs w:val="18"/>
              </w:rPr>
              <w:t xml:space="preserve">P0</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CEI violations (15 instances, 2 vectors)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Escrow, Tab, Stream, Bounty, Deposit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NO (immutable)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F-3</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P1</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events on 27 admin functions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Most contracts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Partial (UUPS only)</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F-4</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P1</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OnrampVaultFactory missing interface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OnrampVaultFactory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NO (immutable)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P1</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 unused error definitions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RemitErrors.sol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(library)</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F-6</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D7D31"/>
                <w:sz w:val="18"/>
                <w:szCs w:val="18"/>
              </w:rPr>
              <w:t xml:space="preserve">P1</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setKeyRegistry missing zero-address check</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Router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(UUPS)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F-7</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P2</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Variable shadowing in Router.initialize()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Router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(UUPS)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F-8</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P2</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ETH locked in UUPS proxies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Router, FeeCalc</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 (UUPS)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F-9</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P2</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Magic numbers (28 literals)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Various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(immutable)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F-10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000000"/>
                <w:sz w:val="18"/>
                <w:szCs w:val="18"/>
              </w:rPr>
              <w:t xml:space="preserve">P2</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Unused import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IRemitKeyRegistry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bCs/>
          <w:sz w:val="22"/>
          <w:szCs w:val="22"/>
        </w:rPr>
        <w:t xml:space="preserve">Critical path: </w:t>
      </w:r>
      <w:r>
        <w:rPr>
          <w:rFonts w:ascii="Arial" w:cs="Arial" w:eastAsia="Arial" w:hAnsi="Arial"/>
          <w:sz w:val="22"/>
          <w:szCs w:val="22"/>
        </w:rPr>
        <w:t xml:space="preserve">F-1 and F-2 must be resolved before mainnet deployment. Both affect immutable (non-upgradeable) contracts and cannot be patched after deployment. F-1 requires adding 9 lines of code across 3 functions. F-2 requires reordering existing code or adding nonReentrant modifiers.</w:t>
      </w:r>
    </w:p>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666666"/>
          <w:sz w:val="20"/>
          <w:szCs w:val="20"/>
        </w:rPr>
        <w:t xml:space="preserve">This report was generated from automated tooling. It is not a substitute for a manual security audit by an experienced auditor. A professional audit engagement is recommended before mainnet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888888"/>
        <w:sz w:val="16"/>
        <w:szCs w:val="16"/>
      </w:rPr>
      <w:t xml:space="preserve">Remit Protocol —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2026-03-19T13:48:49.209Z</dcterms:created>
  <dcterms:modified xsi:type="dcterms:W3CDTF">2026-03-19T13:48:49.210Z</dcterms:modified>
</cp:coreProperties>
</file>

<file path=docProps/custom.xml><?xml version="1.0" encoding="utf-8"?>
<Properties xmlns="http://schemas.openxmlformats.org/officeDocument/2006/custom-properties" xmlns:vt="http://schemas.openxmlformats.org/officeDocument/2006/docPropsVTypes"/>
</file>