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This presentation manual is structured to serve as a comprehensive blueprint for your </w:t>
      </w:r>
      <w:r w:rsidDel="00000000" w:rsidR="00000000" w:rsidRPr="00000000">
        <w:rPr>
          <w:b w:val="1"/>
          <w:bCs w:val="1"/>
          <w:rtl w:val="0"/>
        </w:rPr>
        <w:t xml:space="preserve">SAR 7 Million Investment Pitch</w:t>
      </w:r>
      <w:r w:rsidDel="00000000" w:rsidR="00000000" w:rsidRPr="00000000">
        <w:rPr>
          <w:rtl w:val="0"/>
        </w:rPr>
        <w:t xml:space="preserve">. You can copy this content directly into a Google Doc to build your final deck.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48"/>
          <w:szCs w:val="48"/>
        </w:rPr>
      </w:pPr>
      <w:r w:rsidDel="00000000" w:rsidR="00000000" w:rsidRPr="00000000">
        <w:rPr>
          <w:b w:val="1"/>
          <w:bCs w:val="1"/>
          <w:i w:val="0"/>
          <w:iCs w:val="0"/>
          <w:sz w:val="48"/>
          <w:szCs w:val="48"/>
          <w:rtl w:val="0"/>
        </w:rPr>
        <w:t xml:space="preserve">Investment Memorandum: REDOXY Strategic Scale-Up (2025–2029)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1: Title Slide – The Future of Industrial Infrastructure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High-resolution industrial background (refinery or modular unit) with a "Dark Mode" aesthetic, neon circuit overlays, and the REDOXY logo.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REDOXY: Scaling Modular Industrial Infrastructure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Subtitle:</w:t>
      </w:r>
      <w:r w:rsidDel="00000000" w:rsidR="00000000" w:rsidRPr="00000000">
        <w:rPr>
          <w:rtl w:val="0"/>
        </w:rPr>
        <w:t xml:space="preserve"> Strategic 2025–2029 Growth &amp; Investment Opportunity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Callout: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Propelling Saudi Vision 2030 through Circular Energy Solutions.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2: Executive Summary – The High-Growth Opportunity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Text:</w:t>
      </w:r>
      <w:r w:rsidDel="00000000" w:rsidR="00000000" w:rsidRPr="00000000">
        <w:rPr>
          <w:rtl w:val="0"/>
        </w:rPr>
        <w:t xml:space="preserve"> Redoxy is transitioning from a service-based entity to a technology-infrastructure powerhouse. With a validated </w:t>
      </w:r>
      <w:r w:rsidDel="00000000" w:rsidR="00000000" w:rsidRPr="00000000">
        <w:rPr>
          <w:b w:val="1"/>
          <w:bCs w:val="1"/>
          <w:rtl w:val="0"/>
        </w:rPr>
        <w:t xml:space="preserve">44.5% net profit margin</w:t>
      </w:r>
      <w:r w:rsidDel="00000000" w:rsidR="00000000" w:rsidRPr="00000000">
        <w:rPr>
          <w:rtl w:val="0"/>
        </w:rPr>
        <w:t xml:space="preserve"> and an anchor project secured with </w:t>
      </w:r>
      <w:r w:rsidDel="00000000" w:rsidR="00000000" w:rsidRPr="00000000">
        <w:rPr>
          <w:b w:val="1"/>
          <w:bCs w:val="1"/>
          <w:rtl w:val="0"/>
        </w:rPr>
        <w:t xml:space="preserve">Manarah Shada</w:t>
      </w:r>
      <w:r w:rsidDel="00000000" w:rsidR="00000000" w:rsidRPr="00000000">
        <w:rPr>
          <w:rtl w:val="0"/>
        </w:rPr>
        <w:t xml:space="preserve">, we are scaling our fleet of modular recovery units to capture the SAR 1.2B industrial waste-to-value market in the GCC.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  Key Metrics (Sidebar):</w:t>
      </w:r>
    </w:p>
    <w:p w:rsidR="00000000" w:rsidDel="00000000" w:rsidP="00000000" w:rsidRDefault="00000000" w:rsidRPr="00000000" w14:paraId="0000000B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Pre-Money Valuation: </w:t>
      </w:r>
      <w:r w:rsidDel="00000000" w:rsidR="00000000" w:rsidRPr="00000000">
        <w:rPr>
          <w:b w:val="1"/>
          <w:bCs w:val="1"/>
          <w:rtl w:val="0"/>
        </w:rPr>
        <w:t xml:space="preserve">SAR 28,000,000</w:t>
      </w:r>
    </w:p>
    <w:p w:rsidR="00000000" w:rsidDel="00000000" w:rsidP="00000000" w:rsidRDefault="00000000" w:rsidRPr="00000000" w14:paraId="0000000C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2025 Projected Net Profit: </w:t>
      </w:r>
      <w:r w:rsidDel="00000000" w:rsidR="00000000" w:rsidRPr="00000000">
        <w:rPr>
          <w:b w:val="1"/>
          <w:bCs w:val="1"/>
          <w:rtl w:val="0"/>
        </w:rPr>
        <w:t xml:space="preserve">SAR 3.3 Million</w:t>
      </w:r>
    </w:p>
    <w:p w:rsidR="00000000" w:rsidDel="00000000" w:rsidP="00000000" w:rsidRDefault="00000000" w:rsidRPr="00000000" w14:paraId="0000000D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Internal Rate of Return (IRR): </w:t>
      </w:r>
      <w:r w:rsidDel="00000000" w:rsidR="00000000" w:rsidRPr="00000000">
        <w:rPr>
          <w:b w:val="1"/>
          <w:bCs w:val="1"/>
          <w:rtl w:val="0"/>
        </w:rPr>
        <w:t xml:space="preserve">Exceeding 35%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3: Who We Are – Legal &amp; Institutional Strength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Text:</w:t>
      </w:r>
      <w:r w:rsidDel="00000000" w:rsidR="00000000" w:rsidRPr="00000000">
        <w:rPr>
          <w:rtl w:val="0"/>
        </w:rPr>
        <w:t xml:space="preserve"> Redoxy operates under </w:t>
      </w:r>
      <w:r w:rsidDel="00000000" w:rsidR="00000000" w:rsidRPr="00000000">
        <w:rPr>
          <w:b w:val="1"/>
          <w:bCs w:val="1"/>
          <w:rtl w:val="0"/>
        </w:rPr>
        <w:t xml:space="preserve">Innovative Technical Contracting Co. LLC</w:t>
      </w:r>
      <w:r w:rsidDel="00000000" w:rsidR="00000000" w:rsidRPr="00000000">
        <w:rPr>
          <w:rtl w:val="0"/>
        </w:rPr>
        <w:t xml:space="preserve"> in Saudi Arabia and is establishing </w:t>
      </w:r>
      <w:r w:rsidDel="00000000" w:rsidR="00000000" w:rsidRPr="00000000">
        <w:rPr>
          <w:b w:val="1"/>
          <w:bCs w:val="1"/>
          <w:rtl w:val="0"/>
        </w:rPr>
        <w:t xml:space="preserve">REDOXY FZC</w:t>
      </w:r>
      <w:r w:rsidDel="00000000" w:rsidR="00000000" w:rsidRPr="00000000">
        <w:rPr>
          <w:rtl w:val="0"/>
        </w:rPr>
        <w:t xml:space="preserve"> in the UAE to facilitate regional oil trading.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Visuals:</w:t>
      </w:r>
      <w:r w:rsidDel="00000000" w:rsidR="00000000" w:rsidRPr="00000000">
        <w:rPr>
          <w:rtl w:val="0"/>
        </w:rPr>
        <w:t xml:space="preserve"> * Insert Icons for </w:t>
      </w:r>
      <w:r w:rsidDel="00000000" w:rsidR="00000000" w:rsidRPr="00000000">
        <w:rPr>
          <w:b w:val="1"/>
          <w:bCs w:val="1"/>
          <w:rtl w:val="0"/>
        </w:rPr>
        <w:t xml:space="preserve">CR: 2055137314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VAT: 311718861100003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Logos of </w:t>
      </w:r>
      <w:r w:rsidDel="00000000" w:rsidR="00000000" w:rsidRPr="00000000">
        <w:rPr>
          <w:b w:val="1"/>
          <w:bCs w:val="1"/>
          <w:rtl w:val="0"/>
        </w:rPr>
        <w:t xml:space="preserve">Aramco, SABIC, and Ma’aden</w:t>
      </w:r>
      <w:r w:rsidDel="00000000" w:rsidR="00000000" w:rsidRPr="00000000">
        <w:rPr>
          <w:rtl w:val="0"/>
        </w:rPr>
        <w:t xml:space="preserve"> (Vendor Approved Status).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Message:</w:t>
      </w:r>
      <w:r w:rsidDel="00000000" w:rsidR="00000000" w:rsidRPr="00000000">
        <w:rPr>
          <w:rtl w:val="0"/>
        </w:rPr>
        <w:t xml:space="preserve"> We are a "Ready-to-Contract" entity with full compliance in KSA's primary industrial zones.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4: Traction Case Study – Manarah Shada Project (PO #P00209)</w:t>
      </w:r>
    </w:p>
    <w:p w:rsidR="00000000" w:rsidDel="00000000" w:rsidP="00000000" w:rsidRDefault="00000000" w:rsidRPr="00000000" w14:paraId="0000001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Text: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Validation Phase is Complete.</w:t>
      </w:r>
      <w:r w:rsidDel="00000000" w:rsidR="00000000" w:rsidRPr="00000000">
        <w:rPr>
          <w:rtl w:val="0"/>
        </w:rPr>
        <w:t xml:space="preserve"> Redoxy was awarded the MSC Oil Recycling Project in January 2026. This contract serves as the "Anchor" for the 7M investment.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(Graph/Box):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Project Scope:</w:t>
      </w:r>
      <w:r w:rsidDel="00000000" w:rsidR="00000000" w:rsidRPr="00000000">
        <w:rPr>
          <w:rtl w:val="0"/>
        </w:rPr>
        <w:t xml:space="preserve"> Modular Oily Wastewater Treatment.</w:t>
      </w:r>
    </w:p>
    <w:p w:rsidR="00000000" w:rsidDel="00000000" w:rsidP="00000000" w:rsidRDefault="00000000" w:rsidRPr="00000000" w14:paraId="00000016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Protection:</w:t>
      </w:r>
      <w:r w:rsidDel="00000000" w:rsidR="00000000" w:rsidRPr="00000000">
        <w:rPr>
          <w:rtl w:val="0"/>
        </w:rPr>
        <w:t xml:space="preserve"> 100% IP retention by Redoxy; 3-year non-compete for the client.</w:t>
      </w:r>
    </w:p>
    <w:p w:rsidR="00000000" w:rsidDel="00000000" w:rsidP="00000000" w:rsidRDefault="00000000" w:rsidRPr="00000000" w14:paraId="00000017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Revenue Model:</w:t>
      </w:r>
      <w:r w:rsidDel="00000000" w:rsidR="00000000" w:rsidRPr="00000000">
        <w:rPr>
          <w:rtl w:val="0"/>
        </w:rPr>
        <w:t xml:space="preserve"> Combination of setup fees + monthly rental + volume-based recovery spreads.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5: The Technology – Modular Treatment Units (MTUs)</w:t>
      </w:r>
    </w:p>
    <w:p w:rsidR="00000000" w:rsidDel="00000000" w:rsidP="00000000" w:rsidRDefault="00000000" w:rsidRPr="00000000" w14:paraId="0000001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Text:</w:t>
      </w:r>
      <w:r w:rsidDel="00000000" w:rsidR="00000000" w:rsidRPr="00000000">
        <w:rPr>
          <w:rtl w:val="0"/>
        </w:rPr>
        <w:t xml:space="preserve"> Our competitive advantage lies in "Mobility." We deploy TPS (Tilted Plate Predictor) and Coalescing Separators that can be installed on-site within 48 hours, removing the need for massive permanent CAPEX for our clients.</w:t>
      </w:r>
    </w:p>
    <w:p w:rsidR="00000000" w:rsidDel="00000000" w:rsidP="00000000" w:rsidRDefault="00000000" w:rsidRPr="00000000" w14:paraId="0000001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Visual:</w:t>
      </w:r>
      <w:r w:rsidDel="00000000" w:rsidR="00000000" w:rsidRPr="00000000">
        <w:rPr>
          <w:rtl w:val="0"/>
        </w:rPr>
        <w:t xml:space="preserve"> 3D Technical render of a modular unit in a shipping container format.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6: Unit Economics – The Scalability Engine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(Bar Chart):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"Build Cost vs. Lifetime Revenue"</w:t>
      </w:r>
    </w:p>
    <w:p w:rsidR="00000000" w:rsidDel="00000000" w:rsidP="00000000" w:rsidRDefault="00000000" w:rsidRPr="00000000" w14:paraId="0000001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CAPEX to Build:</w:t>
      </w:r>
      <w:r w:rsidDel="00000000" w:rsidR="00000000" w:rsidRPr="00000000">
        <w:rPr>
          <w:rtl w:val="0"/>
        </w:rPr>
        <w:t xml:space="preserve"> SAR 1.5M</w:t>
      </w:r>
    </w:p>
    <w:p w:rsidR="00000000" w:rsidDel="00000000" w:rsidP="00000000" w:rsidRDefault="00000000" w:rsidRPr="00000000" w14:paraId="0000001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Annual Maintenance:</w:t>
      </w:r>
      <w:r w:rsidDel="00000000" w:rsidR="00000000" w:rsidRPr="00000000">
        <w:rPr>
          <w:rtl w:val="0"/>
        </w:rPr>
        <w:t xml:space="preserve"> SAR 0.25M</w:t>
      </w:r>
    </w:p>
    <w:p w:rsidR="00000000" w:rsidDel="00000000" w:rsidP="00000000" w:rsidRDefault="00000000" w:rsidRPr="00000000" w14:paraId="0000001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Annual Revenue per Unit:</w:t>
      </w:r>
      <w:r w:rsidDel="00000000" w:rsidR="00000000" w:rsidRPr="00000000">
        <w:rPr>
          <w:rtl w:val="0"/>
        </w:rPr>
        <w:t xml:space="preserve"> SAR 4.5M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Text:</w:t>
      </w:r>
      <w:r w:rsidDel="00000000" w:rsidR="00000000" w:rsidRPr="00000000">
        <w:rPr>
          <w:rtl w:val="0"/>
        </w:rPr>
        <w:t xml:space="preserve"> One unit pays for itself in just </w:t>
      </w:r>
      <w:r w:rsidDel="00000000" w:rsidR="00000000" w:rsidRPr="00000000">
        <w:rPr>
          <w:b w:val="1"/>
          <w:bCs w:val="1"/>
          <w:rtl w:val="0"/>
        </w:rPr>
        <w:t xml:space="preserve">5 months</w:t>
      </w:r>
      <w:r w:rsidDel="00000000" w:rsidR="00000000" w:rsidRPr="00000000">
        <w:rPr>
          <w:rtl w:val="0"/>
        </w:rPr>
        <w:t xml:space="preserve">. Over a 7-year lifespan, a single unit generates </w:t>
      </w:r>
      <w:r w:rsidDel="00000000" w:rsidR="00000000" w:rsidRPr="00000000">
        <w:rPr>
          <w:b w:val="1"/>
          <w:bCs w:val="1"/>
          <w:rtl w:val="0"/>
        </w:rPr>
        <w:t xml:space="preserve">SAR 28.25M in Net Profit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Investor Takeaway:</w:t>
      </w:r>
      <w:r w:rsidDel="00000000" w:rsidR="00000000" w:rsidRPr="00000000">
        <w:rPr>
          <w:rtl w:val="0"/>
        </w:rPr>
        <w:t xml:space="preserve"> Your 7M SAR builds the next three "Money Printing" units.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7: 5-Year Financial Projections (2025–2029)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(Clustered Bar Chart):</w:t>
      </w:r>
      <w:r w:rsidDel="00000000" w:rsidR="00000000" w:rsidRPr="00000000">
        <w:rPr>
          <w:rtl w:val="0"/>
        </w:rPr>
        <w:t xml:space="preserve"> * </w:t>
      </w:r>
      <w:r w:rsidDel="00000000" w:rsidR="00000000" w:rsidRPr="00000000">
        <w:rPr>
          <w:b w:val="1"/>
          <w:bCs w:val="1"/>
          <w:rtl w:val="0"/>
        </w:rPr>
        <w:t xml:space="preserve">2025:</w:t>
      </w:r>
      <w:r w:rsidDel="00000000" w:rsidR="00000000" w:rsidRPr="00000000">
        <w:rPr>
          <w:rtl w:val="0"/>
        </w:rPr>
        <w:t xml:space="preserve"> Revenue 10M | Profit 3.3M</w:t>
      </w:r>
    </w:p>
    <w:p w:rsidR="00000000" w:rsidDel="00000000" w:rsidP="00000000" w:rsidRDefault="00000000" w:rsidRPr="00000000" w14:paraId="00000024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2027:</w:t>
      </w:r>
      <w:r w:rsidDel="00000000" w:rsidR="00000000" w:rsidRPr="00000000">
        <w:rPr>
          <w:rtl w:val="0"/>
        </w:rPr>
        <w:t xml:space="preserve"> Revenue 25M | Profit 7.5M</w:t>
      </w:r>
    </w:p>
    <w:p w:rsidR="00000000" w:rsidDel="00000000" w:rsidP="00000000" w:rsidRDefault="00000000" w:rsidRPr="00000000" w14:paraId="00000025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2029:</w:t>
      </w:r>
      <w:r w:rsidDel="00000000" w:rsidR="00000000" w:rsidRPr="00000000">
        <w:rPr>
          <w:rtl w:val="0"/>
        </w:rPr>
        <w:t xml:space="preserve"> Revenue 40M | Profit 13M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(Area Chart):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"Asset Valuation Growth"</w:t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 Enterprise Value growing from </w:t>
      </w:r>
      <w:r w:rsidDel="00000000" w:rsidR="00000000" w:rsidRPr="00000000">
        <w:rPr>
          <w:b w:val="1"/>
          <w:bCs w:val="1"/>
          <w:rtl w:val="0"/>
        </w:rPr>
        <w:t xml:space="preserve">SAR 7.5M</w:t>
      </w:r>
      <w:r w:rsidDel="00000000" w:rsidR="00000000" w:rsidRPr="00000000">
        <w:rPr>
          <w:rtl w:val="0"/>
        </w:rPr>
        <w:t xml:space="preserve"> in 2025 to </w:t>
      </w:r>
      <w:r w:rsidDel="00000000" w:rsidR="00000000" w:rsidRPr="00000000">
        <w:rPr>
          <w:b w:val="1"/>
          <w:bCs w:val="1"/>
          <w:rtl w:val="0"/>
        </w:rPr>
        <w:t xml:space="preserve">SAR 30M+</w:t>
      </w:r>
      <w:r w:rsidDel="00000000" w:rsidR="00000000" w:rsidRPr="00000000">
        <w:rPr>
          <w:rtl w:val="0"/>
        </w:rPr>
        <w:t xml:space="preserve"> in 2029 based on physical unit count and IP.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8: Cash Flow &amp; Dividend Sustainability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(Line Graph):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"Liquidity &amp; Dividend Coverage"</w:t>
      </w:r>
    </w:p>
    <w:p w:rsidR="00000000" w:rsidDel="00000000" w:rsidP="00000000" w:rsidRDefault="00000000" w:rsidRPr="00000000" w14:paraId="0000002A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Show a rising cash line reaching </w:t>
      </w:r>
      <w:r w:rsidDel="00000000" w:rsidR="00000000" w:rsidRPr="00000000">
        <w:rPr>
          <w:b w:val="1"/>
          <w:bCs w:val="1"/>
          <w:rtl w:val="0"/>
        </w:rPr>
        <w:t xml:space="preserve">SAR 13.4M by Q4 2025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Text:</w:t>
      </w:r>
      <w:r w:rsidDel="00000000" w:rsidR="00000000" w:rsidRPr="00000000">
        <w:rPr>
          <w:rtl w:val="0"/>
        </w:rPr>
        <w:t xml:space="preserve"> We are offering a </w:t>
      </w:r>
      <w:r w:rsidDel="00000000" w:rsidR="00000000" w:rsidRPr="00000000">
        <w:rPr>
          <w:b w:val="1"/>
          <w:bCs w:val="1"/>
          <w:rtl w:val="0"/>
        </w:rPr>
        <w:t xml:space="preserve">15% annual capped dividend</w:t>
      </w:r>
      <w:r w:rsidDel="00000000" w:rsidR="00000000" w:rsidRPr="00000000">
        <w:rPr>
          <w:rtl w:val="0"/>
        </w:rPr>
        <w:t xml:space="preserve">. Our cash flow forecast proves that even after scaling operations, our cash surplus is </w:t>
      </w:r>
      <w:r w:rsidDel="00000000" w:rsidR="00000000" w:rsidRPr="00000000">
        <w:rPr>
          <w:b w:val="1"/>
          <w:bCs w:val="1"/>
          <w:rtl w:val="0"/>
        </w:rPr>
        <w:t xml:space="preserve">7x greater</w:t>
      </w:r>
      <w:r w:rsidDel="00000000" w:rsidR="00000000" w:rsidRPr="00000000">
        <w:rPr>
          <w:rtl w:val="0"/>
        </w:rPr>
        <w:t xml:space="preserve"> than the dividend requirement, ensuring a safe, consistent return for the investor.</w:t>
      </w:r>
    </w:p>
    <w:p w:rsidR="00000000" w:rsidDel="00000000" w:rsidP="00000000" w:rsidRDefault="00000000" w:rsidRPr="00000000" w14:paraId="000000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9: The Investment Deal – SAR 7 Million "Ask"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(Pie Chart):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"Use of Funds"</w:t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43% (3.0M):</w:t>
      </w:r>
      <w:r w:rsidDel="00000000" w:rsidR="00000000" w:rsidRPr="00000000">
        <w:rPr>
          <w:rtl w:val="0"/>
        </w:rPr>
        <w:t xml:space="preserve"> Production of 2 New Modular Units.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21.5% (1.5M):</w:t>
      </w:r>
      <w:r w:rsidDel="00000000" w:rsidR="00000000" w:rsidRPr="00000000">
        <w:rPr>
          <w:rtl w:val="0"/>
        </w:rPr>
        <w:t xml:space="preserve"> Operational Staffing (Engineers &amp; Operators).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14.2% (1.0M):</w:t>
      </w:r>
      <w:r w:rsidDel="00000000" w:rsidR="00000000" w:rsidRPr="00000000">
        <w:rPr>
          <w:rtl w:val="0"/>
        </w:rPr>
        <w:t xml:space="preserve"> Advanced R&amp;D &amp; In-house Lab Setup.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21.3% (1.5M):</w:t>
      </w:r>
      <w:r w:rsidDel="00000000" w:rsidR="00000000" w:rsidRPr="00000000">
        <w:rPr>
          <w:rtl w:val="0"/>
        </w:rPr>
        <w:t xml:space="preserve"> Working Capital &amp; UAE FZC Setup.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10: Investor ROI &amp; Exit Strategy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(ROI Table):</w:t>
      </w:r>
    </w:p>
    <w:p w:rsidR="00000000" w:rsidDel="00000000" w:rsidP="00000000" w:rsidRDefault="00000000" w:rsidRPr="00000000" w14:paraId="0000003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Investment: </w:t>
      </w:r>
      <w:r w:rsidDel="00000000" w:rsidR="00000000" w:rsidRPr="00000000">
        <w:rPr>
          <w:b w:val="1"/>
          <w:bCs w:val="1"/>
          <w:rtl w:val="0"/>
        </w:rPr>
        <w:t xml:space="preserve">SAR 7,000,000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Equity: </w:t>
      </w:r>
      <w:r w:rsidDel="00000000" w:rsidR="00000000" w:rsidRPr="00000000">
        <w:rPr>
          <w:b w:val="1"/>
          <w:bCs w:val="1"/>
          <w:rtl w:val="0"/>
        </w:rPr>
        <w:t xml:space="preserve">20%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2029 Projected Value of Stake: </w:t>
      </w:r>
      <w:r w:rsidDel="00000000" w:rsidR="00000000" w:rsidRPr="00000000">
        <w:rPr>
          <w:b w:val="1"/>
          <w:bCs w:val="1"/>
          <w:rtl w:val="0"/>
        </w:rPr>
        <w:t xml:space="preserve">SAR 15,600,000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Total Return: 2.23x MOIC + Annual Dividends.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Exit Options:</w:t>
      </w:r>
      <w:r w:rsidDel="00000000" w:rsidR="00000000" w:rsidRPr="00000000">
        <w:rPr>
          <w:rtl w:val="0"/>
        </w:rPr>
        <w:t xml:space="preserve"> Strategic acquisition by environmental giants (Veolia/BeeA'h) or IPO on Nomu.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11: Governance – The "Protected Roll-In"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Text:</w:t>
      </w:r>
      <w:r w:rsidDel="00000000" w:rsidR="00000000" w:rsidRPr="00000000">
        <w:rPr>
          <w:rtl w:val="0"/>
        </w:rPr>
        <w:t xml:space="preserve"> We invite investors to "Roll-In" through a </w:t>
      </w:r>
      <w:r w:rsidDel="00000000" w:rsidR="00000000" w:rsidRPr="00000000">
        <w:rPr>
          <w:b w:val="1"/>
          <w:bCs w:val="1"/>
          <w:rtl w:val="0"/>
        </w:rPr>
        <w:t xml:space="preserve">Strategic Advisory Board</w:t>
      </w:r>
      <w:r w:rsidDel="00000000" w:rsidR="00000000" w:rsidRPr="00000000">
        <w:rPr>
          <w:rtl w:val="0"/>
        </w:rPr>
        <w:t xml:space="preserve">. You provide guidance on M&amp;A and regional networking while Management retains operational agility.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Visual (Venn Diagram):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"Authorization vs. Oversight"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Management (Founder):</w:t>
      </w:r>
      <w:r w:rsidDel="00000000" w:rsidR="00000000" w:rsidRPr="00000000">
        <w:rPr>
          <w:rtl w:val="0"/>
        </w:rPr>
        <w:t xml:space="preserve"> 100% Operational Authorization, Hiring, Site Deployment.</w:t>
      </w:r>
    </w:p>
    <w:p w:rsidR="00000000" w:rsidDel="00000000" w:rsidP="00000000" w:rsidRDefault="00000000" w:rsidRPr="00000000" w14:paraId="0000003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Board (Investor):</w:t>
      </w:r>
      <w:r w:rsidDel="00000000" w:rsidR="00000000" w:rsidRPr="00000000">
        <w:rPr>
          <w:rtl w:val="0"/>
        </w:rPr>
        <w:t xml:space="preserve"> Veto Rights on IP Sales, Mergers, and Debt &gt; SAR 2M.</w:t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12: Decision Rights Matrix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Text:</w:t>
      </w:r>
      <w:r w:rsidDel="00000000" w:rsidR="00000000" w:rsidRPr="00000000">
        <w:rPr>
          <w:rtl w:val="0"/>
        </w:rPr>
        <w:t xml:space="preserve"> This matrix defines the "Rules of Engagement" to ensure no operational friction.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Table:</w:t>
      </w:r>
    </w:p>
    <w:p w:rsidR="00000000" w:rsidDel="00000000" w:rsidP="00000000" w:rsidRDefault="00000000" w:rsidRPr="00000000" w14:paraId="0000004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Operational Spend &lt; 250k:</w:t>
      </w:r>
      <w:r w:rsidDel="00000000" w:rsidR="00000000" w:rsidRPr="00000000">
        <w:rPr>
          <w:rtl w:val="0"/>
        </w:rPr>
        <w:t xml:space="preserve"> Founder Authorized.</w:t>
      </w:r>
    </w:p>
    <w:p w:rsidR="00000000" w:rsidDel="00000000" w:rsidP="00000000" w:rsidRDefault="00000000" w:rsidRPr="00000000" w14:paraId="0000004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Strategy Change:</w:t>
      </w:r>
      <w:r w:rsidDel="00000000" w:rsidR="00000000" w:rsidRPr="00000000">
        <w:rPr>
          <w:rtl w:val="0"/>
        </w:rPr>
        <w:t xml:space="preserve"> Joint Approval.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IP Licensing:</w:t>
      </w:r>
      <w:r w:rsidDel="00000000" w:rsidR="00000000" w:rsidRPr="00000000">
        <w:rPr>
          <w:rtl w:val="0"/>
        </w:rPr>
        <w:t xml:space="preserve"> Investor Veto Right.</w:t>
      </w:r>
    </w:p>
    <w:p w:rsidR="00000000" w:rsidDel="00000000" w:rsidP="00000000" w:rsidRDefault="00000000" w:rsidRPr="00000000" w14:paraId="000000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13: The Management Team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Detailed Text:</w:t>
      </w:r>
      <w:r w:rsidDel="00000000" w:rsidR="00000000" w:rsidRPr="00000000">
        <w:rPr>
          <w:rtl w:val="0"/>
        </w:rPr>
        <w:t xml:space="preserve"> Led by a team with 15+ years in KSA industrial services.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Highlight: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Manpower Protection Clause</w:t>
      </w:r>
      <w:r w:rsidDel="00000000" w:rsidR="00000000" w:rsidRPr="00000000">
        <w:rPr>
          <w:rtl w:val="0"/>
        </w:rPr>
        <w:t xml:space="preserve"> in our contracts (Section 8) prevents clients from poaching our operators, ensuring our "Human Capital" stays in-house.</w:t>
      </w:r>
    </w:p>
    <w:p w:rsidR="00000000" w:rsidDel="00000000" w:rsidP="00000000" w:rsidRDefault="00000000" w:rsidRPr="00000000" w14:paraId="0000004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36"/>
          <w:szCs w:val="36"/>
        </w:rPr>
      </w:pPr>
      <w:r w:rsidDel="00000000" w:rsidR="00000000" w:rsidRPr="00000000">
        <w:rPr>
          <w:b w:val="1"/>
          <w:bCs w:val="1"/>
          <w:i w:val="0"/>
          <w:iCs w:val="0"/>
          <w:sz w:val="36"/>
          <w:szCs w:val="36"/>
          <w:rtl w:val="0"/>
        </w:rPr>
        <w:t xml:space="preserve">Slide 14: Final Call to Action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The technology is proven. The contract is signed. The market is ready.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Next Steps: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Review the Data Room (Due Diligence).</w:t>
      </w:r>
    </w:p>
    <w:p w:rsidR="00000000" w:rsidDel="00000000" w:rsidP="00000000" w:rsidRDefault="00000000" w:rsidRPr="00000000" w14:paraId="0000004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Site Visit to Manarashada Project.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Finalize Shareholders Agreement (SHA).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info@redoxyksa.com | Jubail, Saudi Arabia.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