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pos="9020"/>
        </w:tabs>
        <w:spacing w:before="0" w:after="120" w:line="480" w:lineRule="exact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ascii="Times New Roman" w:hAnsi="Times New Roman" w:eastAsia="標楷體" w:cs="Times New Roman"/>
          <w:b/>
          <w:sz w:val="28"/>
          <w:szCs w:val="28"/>
        </w:rPr>
        <w:t xml:space="preserve">提案</w:t>
      </w:r>
      <w:r>
        <w:rPr>
          <w:rFonts w:ascii="Times New Roman" w:hAnsi="Times New Roman" w:eastAsia="標楷體" w:cs="Times New Roman"/>
          <w:b/>
          <w:sz w:val="28"/>
          <w:szCs w:val="28"/>
        </w:rPr>
        <w:tab/>
        <w:t xml:space="preserve">報告人：王小明</w:t>
      </w:r>
    </w:p>
    <w:p>
      <w:pPr>
        <w:spacing w:before="0" w:after="120" w:line="480" w:lineRule="exact"/>
        <w:ind w:left="640" w:hanging="640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案由：有關「SALDOLIN」建議調高某藥廠藥品之健保支付價格案，提請討論。</w:t>
      </w:r>
    </w:p>
    <w:p>
      <w:pPr>
        <w:spacing w:before="0" w:after="6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說明：</w:t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依據某藥廠115年3月14日健保審字第1150001234號函、115年3月20日健保審字第1150005678號函及＿＿＿＿＿＿年＿月＿日＿＿＿＿＿＿字第＿＿＿＿＿＿號函辦理。</w:t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本案藥品健保收載情形說明如下：</w:t>
      </w:r>
    </w:p>
    <w:p>
      <w:pPr>
        <w:numPr>
          <w:ilvl w:val="1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SALDOLIN（健保代碼 AC43572414）之主成分、劑型、含量為「SALBUTAMOL, 口鼻噴霧/吸入劑, 2.00 MG/ML」，屬原開發廠藥品，屬健保收載未滿15年之第一大類藥品，適應症「支氣管痙攣」，ATC7碼為R03AC02 salbutamol。</w:t>
      </w:r>
    </w:p>
    <w:p>
      <w:pPr>
        <w:numPr>
          <w:ilvl w:val="1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BUTANYL INHALATION（健保代碼 AB43735112）之主成分、劑型、含量為「TERBUTALINE, 口鼻噴霧/吸入劑, 2.50 MG/ML」，屬原開發廠藥品，屬健保收載未滿15年之第一大類藥品，適應症「支氣管痙攣」，ATC7碼為R03AC03 terbutaline。</w:t>
      </w:r>
    </w:p>
    <w:p>
      <w:pPr>
        <w:numPr>
          <w:ilvl w:val="1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查健保收載同分組藥品共計5項(P-)：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078"/>
        <w:gridCol w:w="2059"/>
        <w:gridCol w:w="1177"/>
        <w:gridCol w:w="1373"/>
        <w:gridCol w:w="1373"/>
        <w:gridCol w:w="784"/>
        <w:gridCol w:w="1177"/>
      </w:tblGrid>
      <w:tr>
        <w:trPr>
          <w:tblHeader/>
        </w:trPr>
        <w:tc>
          <w:tcPr>
            <w:tcW w:w="1078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項次</w:t>
            </w:r>
          </w:p>
        </w:tc>
        <w:tc>
          <w:tcPr>
            <w:tcW w:w="2059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藥品名稱</w:t>
            </w:r>
          </w:p>
        </w:tc>
        <w:tc>
          <w:tcPr>
            <w:tcW w:w="1177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藥商</w:t>
            </w:r>
          </w:p>
        </w:tc>
        <w:tc>
          <w:tcPr>
            <w:tcW w:w="13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現行健保支付價(115年8月)(元)</w:t>
            </w:r>
          </w:p>
        </w:tc>
        <w:tc>
          <w:tcPr>
            <w:tcW w:w="13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114年整組申報金額(元)</w:t>
            </w:r>
          </w:p>
        </w:tc>
        <w:tc>
          <w:tcPr>
            <w:tcW w:w="78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114年占率</w:t>
            </w:r>
          </w:p>
        </w:tc>
        <w:tc>
          <w:tcPr>
            <w:tcW w:w="1177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114年整組申報量</w:t>
            </w:r>
          </w:p>
        </w:tc>
      </w:tr>
      <w:tr>
        <w:tc>
          <w:tcPr>
            <w:tcW w:w="1078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SALDOLIN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某藥廠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6.6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140,675,163</w:t>
            </w:r>
          </w:p>
        </w:tc>
        <w:tc>
          <w:tcPr>
            <w:tcW w:w="784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92%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96,870</w:t>
            </w:r>
          </w:p>
        </w:tc>
      </w:tr>
      <w:tr>
        <w:tc>
          <w:tcPr>
            <w:tcW w:w="1078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VENTOLIN INHALER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某藥廠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11,593,070</w:t>
            </w:r>
          </w:p>
        </w:tc>
        <w:tc>
          <w:tcPr>
            <w:tcW w:w="784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7.6%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7,154</w:t>
            </w:r>
          </w:p>
        </w:tc>
      </w:tr>
      <w:tr>
        <w:tc>
          <w:tcPr>
            <w:tcW w:w="1078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Nopant respirator solution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某藥廠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81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82,222</w:t>
            </w:r>
          </w:p>
        </w:tc>
        <w:tc>
          <w:tcPr>
            <w:tcW w:w="784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0.05%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56</w:t>
            </w:r>
          </w:p>
        </w:tc>
      </w:tr>
      <w:tr>
        <w:tc>
          <w:tcPr>
            <w:tcW w:w="1078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停付品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某藥廠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－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－</w:t>
            </w:r>
          </w:p>
        </w:tc>
        <w:tc>
          <w:tcPr>
            <w:tcW w:w="784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0%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－</w:t>
            </w:r>
          </w:p>
        </w:tc>
      </w:tr>
      <w:tr>
        <w:tc>
          <w:tcPr>
            <w:tcW w:w="1078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BUTANYL INHALATION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某藥廠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8.2</w:t>
            </w:r>
          </w:p>
        </w:tc>
        <w:tc>
          <w:tcPr>
            <w:tcW w:w="137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1,640</w:t>
            </w:r>
          </w:p>
        </w:tc>
        <w:tc>
          <w:tcPr>
            <w:tcW w:w="784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100%</w:t>
            </w:r>
          </w:p>
        </w:tc>
        <w:tc>
          <w:tcPr>
            <w:tcW w:w="1177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200</w:t>
            </w:r>
          </w:p>
        </w:tc>
      </w:tr>
    </w:tbl>
    <w:p>
      <w:pPr>
        <w:spacing w:before="0" w:after="0" w:line="480" w:lineRule="exact"/>
        <w:ind w:left="64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註：本表含 1 項暫時停止支付項目，其現行健保支付價欄以「－」表示。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1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查健保收載相同ATC 7碼藥品共計2分組、5項目(P-)：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984"/>
        <w:gridCol w:w="1722"/>
        <w:gridCol w:w="984"/>
        <w:gridCol w:w="1148"/>
        <w:gridCol w:w="574"/>
        <w:gridCol w:w="1230"/>
        <w:gridCol w:w="1312"/>
        <w:gridCol w:w="1066"/>
      </w:tblGrid>
      <w:tr>
        <w:trPr>
          <w:tblHeader/>
        </w:trPr>
        <w:tc>
          <w:tcPr>
            <w:tcW w:w="98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項次</w:t>
            </w:r>
          </w:p>
        </w:tc>
        <w:tc>
          <w:tcPr>
            <w:tcW w:w="172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分組名稱</w:t>
            </w:r>
          </w:p>
        </w:tc>
        <w:tc>
          <w:tcPr>
            <w:tcW w:w="98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ATC7碼</w:t>
            </w:r>
          </w:p>
        </w:tc>
        <w:tc>
          <w:tcPr>
            <w:tcW w:w="1148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ATC名稱</w:t>
            </w:r>
          </w:p>
        </w:tc>
        <w:tc>
          <w:tcPr>
            <w:tcW w:w="57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項目數</w:t>
            </w:r>
          </w:p>
        </w:tc>
        <w:tc>
          <w:tcPr>
            <w:tcW w:w="1230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現行健保支付價(115年8月)(元)</w:t>
            </w:r>
          </w:p>
        </w:tc>
        <w:tc>
          <w:tcPr>
            <w:tcW w:w="13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114年整組申報金額(元)</w:t>
            </w:r>
          </w:p>
        </w:tc>
        <w:tc>
          <w:tcPr>
            <w:tcW w:w="1066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114年整組申報量</w:t>
            </w:r>
          </w:p>
        </w:tc>
      </w:tr>
      <w:tr>
        <w:tc>
          <w:tcPr>
            <w:tcW w:w="984" w:type="dxa"/>
            <w:vMerge w:val="restart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1722" w:type="dxa"/>
            <w:vMerge w:val="restart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SALBUTAMOL, 口鼻噴霧/吸入劑, 2.00 MG/ML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R03AC02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salbutamol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6.6、81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140,757,385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96,926</w:t>
            </w:r>
          </w:p>
        </w:tc>
      </w:tr>
      <w:tr>
        <w:tc>
          <w:tcPr>
            <w:tcW w:w="984" w:type="dxa"/>
            <w:vMerge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/>
            </w:r>
          </w:p>
        </w:tc>
        <w:tc>
          <w:tcPr>
            <w:tcW w:w="1722" w:type="dxa"/>
            <w:vMerge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/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R03AC03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11,593,070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7,154</w:t>
            </w:r>
          </w:p>
        </w:tc>
      </w:tr>
      <w:tr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1722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TERBUTALINE, 口鼻噴霧/吸入劑, 2.50 MG/ML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R03AC03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8.2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1,640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200</w:t>
            </w:r>
          </w:p>
        </w:tc>
      </w:tr>
    </w:tbl>
    <w:p>
      <w:pPr>
        <w:spacing w:before="0" w:after="0" w:line="480" w:lineRule="exact"/>
        <w:ind w:left="64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註：SALBUTAMOL, 口鼻噴霧/吸入劑, 2.00 MG/ML之項目數包含 1 項暫時停止支付項目。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1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查健保收載相同ATC 5碼藥品共計2分組、5項目(P-)：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984"/>
        <w:gridCol w:w="1722"/>
        <w:gridCol w:w="984"/>
        <w:gridCol w:w="1148"/>
        <w:gridCol w:w="574"/>
        <w:gridCol w:w="1230"/>
        <w:gridCol w:w="1312"/>
        <w:gridCol w:w="1066"/>
      </w:tblGrid>
      <w:tr>
        <w:trPr>
          <w:tblHeader/>
        </w:trPr>
        <w:tc>
          <w:tcPr>
            <w:tcW w:w="98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項次</w:t>
            </w:r>
          </w:p>
        </w:tc>
        <w:tc>
          <w:tcPr>
            <w:tcW w:w="172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分組名稱</w:t>
            </w:r>
          </w:p>
        </w:tc>
        <w:tc>
          <w:tcPr>
            <w:tcW w:w="98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ATC7碼</w:t>
            </w:r>
          </w:p>
        </w:tc>
        <w:tc>
          <w:tcPr>
            <w:tcW w:w="1148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ATC名稱</w:t>
            </w:r>
          </w:p>
        </w:tc>
        <w:tc>
          <w:tcPr>
            <w:tcW w:w="57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項目數</w:t>
            </w:r>
          </w:p>
        </w:tc>
        <w:tc>
          <w:tcPr>
            <w:tcW w:w="1230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現行健保支付價(115年8月)(元)</w:t>
            </w:r>
          </w:p>
        </w:tc>
        <w:tc>
          <w:tcPr>
            <w:tcW w:w="13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114年整組申報金額(元)</w:t>
            </w:r>
          </w:p>
        </w:tc>
        <w:tc>
          <w:tcPr>
            <w:tcW w:w="1066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114年整組申報量</w:t>
            </w:r>
          </w:p>
        </w:tc>
      </w:tr>
      <w:tr>
        <w:tc>
          <w:tcPr>
            <w:tcW w:w="984" w:type="dxa"/>
            <w:vMerge w:val="restart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1722" w:type="dxa"/>
            <w:vMerge w:val="restart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SALBUTAMOL, 口鼻噴霧/吸入劑, 2.00 MG/ML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R03AC02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salbutamol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6.6、81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140,757,385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96,926</w:t>
            </w:r>
          </w:p>
        </w:tc>
      </w:tr>
      <w:tr>
        <w:tc>
          <w:tcPr>
            <w:tcW w:w="984" w:type="dxa"/>
            <w:vMerge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/>
            </w:r>
          </w:p>
        </w:tc>
        <w:tc>
          <w:tcPr>
            <w:tcW w:w="1722" w:type="dxa"/>
            <w:vMerge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/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R03AC03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96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11,593,070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7,154</w:t>
            </w:r>
          </w:p>
        </w:tc>
      </w:tr>
      <w:tr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br/>
            </w:r>
            <w:r>
              <w:rPr>
                <w:rFonts w:ascii="Times New Roman" w:hAnsi="Times New Roman" w:eastAsia="標楷體" w:cs="Times New Roman"/>
                <w:b/>
                <w:sz w:val="16"/>
                <w:szCs w:val="16"/>
              </w:rPr>
              <w:t xml:space="preserve">（本案藥品）</w:t>
            </w:r>
          </w:p>
        </w:tc>
        <w:tc>
          <w:tcPr>
            <w:tcW w:w="1722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TERBUTALINE, 口鼻噴霧/吸入劑, 2.50 MG/ML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R03AC03</w:t>
            </w:r>
          </w:p>
        </w:tc>
        <w:tc>
          <w:tcPr>
            <w:tcW w:w="1148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</w:t>
            </w:r>
          </w:p>
        </w:tc>
        <w:tc>
          <w:tcPr>
            <w:tcW w:w="574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30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8.2</w:t>
            </w:r>
          </w:p>
        </w:tc>
        <w:tc>
          <w:tcPr>
            <w:tcW w:w="131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1,640</w:t>
            </w:r>
          </w:p>
        </w:tc>
        <w:tc>
          <w:tcPr>
            <w:tcW w:w="1066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200</w:t>
            </w:r>
          </w:p>
        </w:tc>
      </w:tr>
    </w:tbl>
    <w:p>
      <w:pPr>
        <w:spacing w:before="0" w:after="0" w:line="480" w:lineRule="exact"/>
        <w:ind w:left="64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註：SALBUTAMOL, 口鼻噴霧/吸入劑, 2.00 MG/ML之項目數包含 1 項暫時停止支付項目。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經洽詢廠商供應狀況，本藥品＿＿＿＿＿＿＿＿＿＿＿＿。</w:t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經詢問其他廠商，＿＿＿＿＿＿＿＿＿＿＿＿＿＿＿＿＿＿。</w:t>
      </w:r>
    </w:p>
    <w:p>
      <w:pPr>
        <w:numPr>
          <w:ilvl w:val="0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今某藥廠等來函建議提高健保支付價(P-)：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875"/>
        <w:gridCol w:w="2054"/>
        <w:gridCol w:w="1161"/>
        <w:gridCol w:w="1072"/>
        <w:gridCol w:w="893"/>
        <w:gridCol w:w="893"/>
        <w:gridCol w:w="1072"/>
      </w:tblGrid>
      <w:tr>
        <w:trPr>
          <w:tblHeader/>
        </w:trPr>
        <w:tc>
          <w:tcPr>
            <w:tcW w:w="1875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藥品名稱</w:t>
            </w:r>
          </w:p>
        </w:tc>
        <w:tc>
          <w:tcPr>
            <w:tcW w:w="2054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分類分組名稱</w:t>
            </w:r>
          </w:p>
        </w:tc>
        <w:tc>
          <w:tcPr>
            <w:tcW w:w="1161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現行支付價(115年8月)(元)</w:t>
            </w:r>
          </w:p>
        </w:tc>
        <w:tc>
          <w:tcPr>
            <w:tcW w:w="107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廠商建議價(元)</w:t>
            </w:r>
          </w:p>
        </w:tc>
        <w:tc>
          <w:tcPr>
            <w:tcW w:w="89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114年廠商占率</w:t>
            </w:r>
          </w:p>
        </w:tc>
        <w:tc>
          <w:tcPr>
            <w:tcW w:w="89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廠商成本(元)</w:t>
            </w:r>
          </w:p>
        </w:tc>
        <w:tc>
          <w:tcPr>
            <w:tcW w:w="107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十國藥價中位數(元)</w:t>
            </w:r>
          </w:p>
        </w:tc>
      </w:tr>
      <w:tr>
        <w:tc>
          <w:tcPr>
            <w:tcW w:w="1875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SALDOLIN</w:t>
            </w:r>
          </w:p>
        </w:tc>
        <w:tc>
          <w:tcPr>
            <w:tcW w:w="2054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SALBUTAMOL, 口鼻噴霧/吸入劑, 2.00 MG/ML</w:t>
            </w:r>
          </w:p>
        </w:tc>
        <w:tc>
          <w:tcPr>
            <w:tcW w:w="1161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6.6</w:t>
            </w:r>
          </w:p>
        </w:tc>
        <w:tc>
          <w:tcPr>
            <w:tcW w:w="107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48.4</w:t>
            </w:r>
          </w:p>
        </w:tc>
        <w:tc>
          <w:tcPr>
            <w:tcW w:w="89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92%</w:t>
            </w:r>
          </w:p>
        </w:tc>
        <w:tc>
          <w:tcPr>
            <w:tcW w:w="89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32.5</w:t>
            </w:r>
          </w:p>
        </w:tc>
        <w:tc>
          <w:tcPr>
            <w:tcW w:w="107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41</w:t>
            </w:r>
          </w:p>
        </w:tc>
      </w:tr>
      <w:tr>
        <w:tc>
          <w:tcPr>
            <w:tcW w:w="1875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BUTANYL INHALATION</w:t>
            </w:r>
          </w:p>
        </w:tc>
        <w:tc>
          <w:tcPr>
            <w:tcW w:w="2054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TERBUTALINE, 口鼻噴霧/吸入劑, 2.50 MG/ML</w:t>
            </w:r>
          </w:p>
        </w:tc>
        <w:tc>
          <w:tcPr>
            <w:tcW w:w="1161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8.2</w:t>
            </w:r>
          </w:p>
        </w:tc>
        <w:tc>
          <w:tcPr>
            <w:tcW w:w="1072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89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100%</w:t>
            </w:r>
          </w:p>
        </w:tc>
        <w:tc>
          <w:tcPr>
            <w:tcW w:w="893" w:type="dxa"/>
            <w:vAlign w:val="center"/>
          </w:tcPr>
          <w:p>
            <w:pPr>
              <w:spacing w:before="0" w:after="0" w:line="320" w:lineRule="auto"/>
              <w:jc w:val="righ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072" w:type="dxa"/>
            <w:vAlign w:val="center"/>
          </w:tcPr>
          <w:p>
            <w:pPr>
              <w:spacing w:before="0" w:after="0" w:line="320" w:lineRule="auto"/>
              <w:jc w:val="left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無</w:t>
            </w:r>
          </w:p>
        </w:tc>
      </w:tr>
    </w:tbl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依「全民健康保險藥物給付項目及支付標準」第35條特殊藥品支付價格訂定原則，本案藥品就不同核價方式試算之支付價格及財務衝擊如下：（單位：元；財務衝擊為年度推估）</w:t>
      </w:r>
    </w:p>
    <w:p>
      <w:pPr>
        <w:numPr>
          <w:ilvl w:val="1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SALDOLIN（藥品代碼：AC43572414）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173"/>
        <w:gridCol w:w="1173"/>
        <w:gridCol w:w="1112"/>
        <w:gridCol w:w="1112"/>
        <w:gridCol w:w="1112"/>
        <w:gridCol w:w="1112"/>
        <w:gridCol w:w="1112"/>
        <w:gridCol w:w="1112"/>
      </w:tblGrid>
      <w:tr>
        <w:trPr>
          <w:tblHeader/>
        </w:trPr>
        <w:tc>
          <w:tcPr>
            <w:tcW w:w="11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健保價(115年8月)</w:t>
            </w:r>
          </w:p>
        </w:tc>
        <w:tc>
          <w:tcPr>
            <w:tcW w:w="11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廠商建議價</w:t>
            </w:r>
          </w:p>
        </w:tc>
        <w:tc>
          <w:tcPr>
            <w:tcW w:w="6672" w:type="dxa"/>
            <w:gridSpan w:val="6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核價方式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6.6</w:t>
            </w:r>
          </w:p>
        </w:tc>
        <w:tc>
          <w:tcPr>
            <w:tcW w:w="1173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48.4</w:t>
            </w:r>
          </w:p>
        </w:tc>
        <w:tc>
          <w:tcPr>
            <w:tcW w:w="2224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十國藥價中位數</w:t>
            </w:r>
            <w:r>
              <w:rPr>
                <w:rFonts w:ascii="Times New Roman" w:hAnsi="Times New Roman" w:eastAsia="標楷體" w:cs="Times New Roman"/>
                <w:b/>
                <w:sz w:val="24"/>
                <w:szCs w:val="24"/>
                <w:vertAlign w:val="superscript"/>
              </w:rPr>
              <w:t xml:space="preserve">註1</w:t>
            </w:r>
          </w:p>
        </w:tc>
        <w:tc>
          <w:tcPr>
            <w:tcW w:w="4448" w:type="dxa"/>
            <w:gridSpan w:val="4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參考成本價</w:t>
            </w:r>
            <w:r>
              <w:rPr>
                <w:rFonts w:ascii="Times New Roman" w:hAnsi="Times New Roman" w:eastAsia="標楷體" w:cs="Times New Roman"/>
                <w:b/>
                <w:sz w:val="24"/>
                <w:szCs w:val="24"/>
                <w:vertAlign w:val="superscript"/>
              </w:rPr>
              <w:t xml:space="preserve">註2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加計比例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0%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10%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15%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20%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25%</w:t>
            </w:r>
          </w:p>
        </w:tc>
        <w:tc>
          <w:tcPr>
            <w:tcW w:w="1112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調高後支付價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41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45.1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39.2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40.9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42.6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44.3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整體藥費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203.1萬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223.4萬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194.2萬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202.6萬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211萬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219.4萬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財務衝擊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170.4萬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190.7萬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161.5萬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169.9萬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178.3萬</w:t>
            </w:r>
          </w:p>
        </w:tc>
        <w:tc>
          <w:tcPr>
            <w:tcW w:w="1112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186.7萬</w:t>
            </w:r>
          </w:p>
        </w:tc>
      </w:tr>
    </w:tbl>
    <w:p>
      <w:pPr>
        <w:spacing w:before="0" w:after="0" w:line="480" w:lineRule="exact"/>
        <w:ind w:left="9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　整組每月平均申報金額(114年)：12,695,871 元；同分組近三年平均申報量：49,536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1"/>
          <w:numId w:val="1"/>
        </w:numPr>
        <w:spacing w:before="0" w:after="4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BUTANYL INHALATION（藥品代碼：AB43735112）</w:t>
      </w:r>
    </w:p>
    <w:tbl>
      <w:tblPr>
        <w:tblW w:w="90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173"/>
        <w:gridCol w:w="1173"/>
        <w:gridCol w:w="2225"/>
        <w:gridCol w:w="2225"/>
        <w:gridCol w:w="2225"/>
      </w:tblGrid>
      <w:tr>
        <w:trPr>
          <w:tblHeader/>
        </w:trPr>
        <w:tc>
          <w:tcPr>
            <w:tcW w:w="11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健保價(115年8月)</w:t>
            </w:r>
          </w:p>
        </w:tc>
        <w:tc>
          <w:tcPr>
            <w:tcW w:w="1173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廠商建議價</w:t>
            </w:r>
          </w:p>
        </w:tc>
        <w:tc>
          <w:tcPr>
            <w:tcW w:w="6675" w:type="dxa"/>
            <w:gridSpan w:val="3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核價方式</w:t>
            </w:r>
          </w:p>
        </w:tc>
      </w:tr>
      <w:tr>
        <w:tc>
          <w:tcPr>
            <w:tcW w:w="1173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8.2</w:t>
            </w:r>
          </w:p>
        </w:tc>
        <w:tc>
          <w:tcPr>
            <w:tcW w:w="1173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2225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十國藥價中位數</w:t>
            </w:r>
            <w:r>
              <w:rPr>
                <w:rFonts w:ascii="Times New Roman" w:hAnsi="Times New Roman" w:eastAsia="標楷體" w:cs="Times New Roman"/>
                <w:b/>
                <w:sz w:val="24"/>
                <w:szCs w:val="24"/>
                <w:vertAlign w:val="superscript"/>
              </w:rPr>
              <w:t xml:space="preserve">註1</w:t>
            </w:r>
          </w:p>
        </w:tc>
        <w:tc>
          <w:tcPr>
            <w:tcW w:w="4450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參考成本價</w:t>
            </w:r>
            <w:r>
              <w:rPr>
                <w:rFonts w:ascii="Times New Roman" w:hAnsi="Times New Roman" w:eastAsia="標楷體" w:cs="Times New Roman"/>
                <w:b/>
                <w:sz w:val="24"/>
                <w:szCs w:val="24"/>
                <w:vertAlign w:val="superscript"/>
              </w:rPr>
              <w:t xml:space="preserve">註2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加計比例</w:t>
            </w:r>
          </w:p>
        </w:tc>
        <w:tc>
          <w:tcPr>
            <w:tcW w:w="2225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－</w:t>
            </w:r>
          </w:p>
        </w:tc>
        <w:tc>
          <w:tcPr>
            <w:tcW w:w="2225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20%</w:t>
            </w:r>
          </w:p>
        </w:tc>
        <w:tc>
          <w:tcPr>
            <w:tcW w:w="2225" w:type="dxa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調高後支付價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無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9.6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10.4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整體藥費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無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1,440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1,560</w:t>
            </w:r>
          </w:p>
        </w:tc>
      </w:tr>
      <w:tr>
        <w:tc>
          <w:tcPr>
            <w:tcW w:w="2346" w:type="dxa"/>
            <w:gridSpan w:val="2"/>
            <w:shd w:val="clear" w:color="auto" w:fill="D9D9D9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b/>
                <w:sz w:val="24"/>
                <w:szCs w:val="24"/>
              </w:rPr>
              <w:t xml:space="preserve">財務衝擊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無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210</w:t>
            </w:r>
          </w:p>
        </w:tc>
        <w:tc>
          <w:tcPr>
            <w:tcW w:w="2225" w:type="dxa"/>
            <w:vAlign w:val="center"/>
          </w:tcPr>
          <w:p>
            <w:pPr>
              <w:spacing w:before="0" w:after="0" w:line="320" w:lineRule="auto"/>
              <w:jc w:val="center"/>
              <w:rPr>
                <w:rFonts w:ascii="Times New Roman" w:hAnsi="Times New Roman" w:eastAsia="標楷體" w:cs="Times New Roman"/>
                <w:sz w:val="24"/>
                <w:szCs w:val="24"/>
              </w:rPr>
            </w:pPr>
            <w:r>
              <w:rPr>
                <w:rFonts w:ascii="Times New Roman" w:hAnsi="Times New Roman" w:eastAsia="標楷體" w:cs="Times New Roman"/>
                <w:sz w:val="24"/>
                <w:szCs w:val="24"/>
              </w:rPr>
              <w:t xml:space="preserve">330</w:t>
            </w:r>
          </w:p>
        </w:tc>
      </w:tr>
    </w:tbl>
    <w:p>
      <w:pPr>
        <w:spacing w:before="0" w:after="0" w:line="480" w:lineRule="exact"/>
        <w:ind w:left="9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　整組每月平均申報金額(114年)：137 元；同分組近三年平均申報量：150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spacing w:before="0" w:after="0" w:line="480" w:lineRule="exact"/>
        <w:ind w:left="1200" w:hanging="5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註1：（項次 1）參考十國藥價法（二）3.每月申報金額大於新臺幣一百萬元者，以十國藥價中位數為上限價。</w:t>
      </w:r>
    </w:p>
    <w:p>
      <w:pPr>
        <w:spacing w:before="0" w:after="0" w:line="480" w:lineRule="exact"/>
        <w:ind w:left="1200" w:hanging="5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註2：（項次 1）參考成本價法（3）每月申報金額大於新臺幣一百萬元者，加計百分之三十。</w:t>
      </w:r>
    </w:p>
    <w:p>
      <w:pPr>
        <w:spacing w:before="0" w:after="0" w:line="480" w:lineRule="exact"/>
        <w:ind w:left="120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2.領有藥物許可證者，得加計繳納藥害救濟徵收金比率及營業稅。</w:t>
      </w:r>
    </w:p>
    <w:p>
      <w:pPr>
        <w:spacing w:before="0" w:after="0" w:line="480" w:lineRule="exact"/>
        <w:ind w:left="120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  因領有藥物許可證者，得加計繳納藥害救濟徵收金比率0.05%及營業稅5%。</w:t>
      </w:r>
    </w:p>
    <w:p>
      <w:pPr>
        <w:spacing w:before="0" w:after="0" w:line="480" w:lineRule="exact"/>
        <w:ind w:left="1200" w:hanging="5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註1：（項次 2）參考十國藥價法（二）1.每月申報金額小於等於新臺幣五十萬元者，以十國藥價中位數加百分之二十為上限價。</w:t>
      </w:r>
    </w:p>
    <w:p>
      <w:pPr>
        <w:spacing w:before="0" w:after="0" w:line="480" w:lineRule="exact"/>
        <w:ind w:left="1200" w:hanging="5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註2：（項次 2）參考成本價法（1）每月申報金額小於等於新臺幣五十萬元者，加計百分之五十。</w:t>
      </w:r>
    </w:p>
    <w:p>
      <w:pPr>
        <w:spacing w:before="0" w:after="0" w:line="480" w:lineRule="exact"/>
        <w:ind w:left="120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2.領有藥物許可證者，得加計繳納藥害救濟徵收金比率及營業稅。</w:t>
      </w:r>
    </w:p>
    <w:p>
      <w:pPr>
        <w:spacing w:before="0" w:after="0" w:line="480" w:lineRule="exact"/>
        <w:ind w:left="120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  因未領有藥物許可證者，不得加計繳納藥害救濟徵收金比率0.05%及營業稅5%。</w:t>
      </w:r>
    </w:p>
    <w:p>
      <w:pPr>
        <w:spacing w:before="0" w:after="0" w:line="480" w:lineRule="exact"/>
        <w:ind w:left="9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※ 全民健康保險藥物給付項目及支付標準第40條：核算價格小數點之處理方式如下（僅列本次實際適用之級距）：</w:t>
      </w:r>
      <w:r>
        <w:rPr>
          <w:rFonts w:ascii="Times New Roman" w:hAnsi="Times New Roman" w:eastAsia="標楷體" w:cs="Times New Roman"/>
          <w:sz w:val="22"/>
          <w:szCs w:val="22"/>
        </w:rPr>
        <w:br/>
      </w:r>
      <w:r>
        <w:rPr>
          <w:rFonts w:ascii="Times New Roman" w:hAnsi="Times New Roman" w:eastAsia="標楷體" w:cs="Times New Roman"/>
          <w:sz w:val="22"/>
          <w:szCs w:val="22"/>
        </w:rPr>
        <w:t xml:space="preserve">二、核算價大於或等於新臺幣5元且小於50元者，取至小數點後第1位，第2位（含）以後無條件捨去。</w:t>
      </w:r>
    </w:p>
    <w:p>
      <w:pPr>
        <w:spacing w:before="0" w:after="0" w:line="480" w:lineRule="exact"/>
        <w:ind w:left="9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※ 整體藥費＝調高後支付價 × 同分組近三年平均申報量(QTY)</w:t>
      </w:r>
    </w:p>
    <w:p>
      <w:pPr>
        <w:spacing w:before="0" w:after="0" w:line="480" w:lineRule="exact"/>
        <w:ind w:left="960"/>
        <w:rPr>
          <w:rFonts w:ascii="Times New Roman" w:hAnsi="Times New Roman" w:eastAsia="標楷體" w:cs="Times New Roman"/>
          <w:sz w:val="22"/>
          <w:szCs w:val="22"/>
        </w:rPr>
      </w:pPr>
      <w:r>
        <w:rPr>
          <w:rFonts w:ascii="Times New Roman" w:hAnsi="Times New Roman" w:eastAsia="標楷體" w:cs="Times New Roman"/>
          <w:sz w:val="22"/>
          <w:szCs w:val="22"/>
        </w:rPr>
        <w:t xml:space="preserve">※ 財務衝擊＝(調高後支付價 － 健保價) × 同分組近三年平均申報量(QTY)</w:t>
      </w:r>
    </w:p>
    <w:p>
      <w:pPr>
        <w:spacing w:before="0" w:after="0" w:line="160" w:lineRule="exact"/>
        <w:rPr>
          <w:rFonts w:ascii="Times New Roman" w:hAnsi="Times New Roman" w:eastAsia="標楷體" w:cs="Times New Roman"/>
          <w:sz w:val="16"/>
          <w:szCs w:val="16"/>
        </w:rPr>
      </w:pPr>
      <w:r>
        <w:rPr>
          <w:rFonts w:ascii="Times New Roman" w:hAnsi="Times New Roman" w:eastAsia="標楷體" w:cs="Times New Roman"/>
          <w:sz w:val="16"/>
          <w:szCs w:val="16"/>
        </w:rPr>
        <w:t xml:space="preserve"/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本案經諮詢藥品專家之意見如下：</w:t>
      </w:r>
    </w:p>
    <w:p>
      <w:pPr>
        <w:numPr>
          <w:ilvl w:val="1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專家意見一(P-)：＿＿＿＿＿＿＿＿＿＿＿＿</w:t>
      </w:r>
    </w:p>
    <w:p>
      <w:pPr>
        <w:numPr>
          <w:ilvl w:val="1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專家意見二(P-)：＿＿＿＿＿＿＿＿＿＿＿＿</w:t>
      </w:r>
    </w:p>
    <w:p>
      <w:pPr>
        <w:numPr>
          <w:ilvl w:val="1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專家意見三(P-)：＿＿＿＿＿＿＿＿＿＿＿＿</w:t>
      </w:r>
    </w:p>
    <w:p>
      <w:pPr>
        <w:numPr>
          <w:ilvl w:val="0"/>
          <w:numId w:val="1"/>
        </w:numPr>
        <w:spacing w:before="0" w:after="0" w:line="480" w:lineRule="exact"/>
        <w:rPr>
          <w:rFonts w:ascii="Times New Roman" w:hAnsi="Times New Roman" w:eastAsia="標楷體" w:cs="Times New Roman"/>
          <w:sz w:val="28"/>
          <w:szCs w:val="28"/>
        </w:rPr>
      </w:pPr>
      <w:r>
        <w:rPr>
          <w:rFonts w:ascii="Times New Roman" w:hAnsi="Times New Roman" w:eastAsia="標楷體" w:cs="Times New Roman"/>
          <w:sz w:val="28"/>
          <w:szCs w:val="28"/>
        </w:rPr>
        <w:t xml:space="preserve">本案是否提高藥價及方式？提請全體諮詢專家共同討論。</w:t>
      </w:r>
    </w:p>
    <w:sectPr>
      <w:pgSz w:w="11906" w:h="16838"/>
      <w:pgMar w:top="1134" w:right="1134" w:bottom="1134" w:left="1418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chineseCounting"/>
      <w:lvlText w:val="%1、"/>
      <w:lvlJc w:val="left"/>
      <w:pPr>
        <w:ind w:left="840" w:hanging="560"/>
      </w:pPr>
      <w:rPr>
        <w:rFonts w:ascii="Times New Roman" w:hAnsi="Times New Roman" w:eastAsia="標楷體" w:cs="Times New Roman"/>
      </w:rPr>
    </w:lvl>
    <w:lvl w:ilvl="1">
      <w:start w:val="1"/>
      <w:numFmt w:val="chineseCounting"/>
      <w:lvlText w:val="（%2）"/>
      <w:lvlJc w:val="left"/>
      <w:pPr>
        <w:ind w:left="1260" w:hanging="840"/>
      </w:pPr>
      <w:rPr>
        <w:rFonts w:ascii="Times New Roman" w:hAnsi="Times New Roman" w:eastAsia="標楷體" w:cs="Times New Roman"/>
      </w:rPr>
    </w:lvl>
    <w:lvl w:ilvl="2">
      <w:start w:val="1"/>
      <w:numFmt w:val="decimal"/>
      <w:lvlText w:val="%3."/>
      <w:lvlJc w:val="left"/>
      <w:pPr>
        <w:ind w:left="1680" w:hanging="420"/>
      </w:pPr>
      <w:rPr>
        <w:rFonts w:ascii="Times New Roman" w:hAnsi="Times New Roman" w:eastAsia="標楷體" w:cs="Times New Roman"/>
      </w:rPr>
    </w:lvl>
    <w:lvl w:ilvl="3">
      <w:start w:val="1"/>
      <w:numFmt w:val="decimal"/>
      <w:lvlText w:val="(%4)"/>
      <w:lvlJc w:val="left"/>
      <w:pPr>
        <w:ind w:left="2100" w:hanging="420"/>
      </w:pPr>
      <w:rPr>
        <w:rFonts w:ascii="Times New Roman" w:hAnsi="Times New Roman" w:eastAsia="標楷體" w:cs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標楷體" w:cs="Times New Roman"/>
        <w:sz w:val="28"/>
        <w:szCs w:val="28"/>
      </w:rPr>
    </w:rPrDefault>
    <w:pPrDefault>
      <w:pPr>
        <w:spacing w:after="0" w:line="48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