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1.5x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45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180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organised,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 Customer will comply with Provider’s Acceptable Use Policy, available on Provider’s website and as updated by Provider from time to time, which forms part of this Agreement.</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 Provider may also publish a case study describing Customer's use of the Product and the results Customer has achieved.</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 and any reports, insights, or other output generated by the Product.</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