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1.5x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15%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 Critical incidents receive a response within four hours, at any time.</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Provider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180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and notices to Customer will also be copied to legal@northwind.example.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 and any reports, insights, or other output generated by the Product.</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p>
      <w:r>
        <w:t xml:space="preserve">Data Processing Agreement</w:t>
      </w:r>
    </w:p>
    <w:p>
      <w:r>
        <w:t xml:space="preserve">Agreement: This DPA supplements the Cloud Service Agreement between Halden Cloud, Inc. ("Provider") and Northwind Analytics Ltd ("Customer"), and forms part of it.</w:t>
      </w:r>
    </w:p>
    <w:p>
      <w:r>
        <w:t xml:space="preserve">Approved Subprocessors: Nimbus Hosting Ltd (Ireland; hosting and storage of the Cloud Service); Relay Mail Ltd (United Kingdom; transactional email).</w:t>
      </w:r>
    </w:p>
    <w:p>
      <w:r>
        <w:t xml:space="preserve">Provider Security Contact: security@halden.example.</w:t>
      </w:r>
    </w:p>
    <w:p>
      <w:r>
        <w:t xml:space="preserve">Security Policy: As defined in the Agreement. Provider will maintain annually updated reports or annual certifications of compliance with SOC 2 Type II.</w:t>
      </w:r>
    </w:p>
    <w:p>
      <w:r>
        <w:t xml:space="preserve">Governing Member State: UK Transfers: the laws of England and Wales. EEA Transfers: Ireland.</w:t>
      </w:r>
    </w:p>
    <w:p>
      <w:r>
        <w:t xml:space="preserve">Categories of Data Subjects: Customer’s employees, and Customer’s end users and customers.</w:t>
      </w:r>
    </w:p>
    <w:p>
      <w:r>
        <w:t xml:space="preserve">Categories of Personal Data: Name; contact information such as email, phone number, or address; user activity and analysis such as device information or IP address.</w:t>
      </w:r>
    </w:p>
    <w:p>
      <w:r>
        <w:t xml:space="preserve">Special Category Data: No special category data is Processed.</w:t>
      </w:r>
    </w:p>
    <w:p>
      <w:r>
        <w:t xml:space="preserve">Frequency of Transfer: Continuous.</w:t>
      </w:r>
    </w:p>
    <w:p>
      <w:r>
        <w:t xml:space="preserve">Nature and Purpose of Processing: Receiving, holding, using, protecting and erasing Customer Personal Data, to provide and maintain the Service.</w:t>
      </w:r>
    </w:p>
    <w:p>
      <w:r>
        <w:t xml:space="preserve">Duration of Processing: For the duration of the Agreement, and until the Customer Personal Data is returned or deleted under Section 7 of the DPA Standard Terms.</w:t>
      </w:r>
    </w:p>
    <w:p>
      <w:r>
        <w:t xml:space="preserve">DPA Standard Terms</w:t>
      </w:r>
    </w:p>
    <w:p>
      <w:r>
        <w:t xml:space="preserve">1. Processor and Subprocessor Relationships</w:t>
      </w:r>
    </w:p>
    <w:p>
      <w:r>
        <w:t xml:space="preserve">1.1 Provider as Processor.  In situations where Customer is a Controller of the Customer Personal Data, Provider will be deemed a Processor that is Processing Personal Data on behalf of Customer.</w:t>
      </w:r>
    </w:p>
    <w:p>
      <w:r>
        <w:t xml:space="preserve">1.2 Provider as Subprocessor.  In situations where Customer is a Processor of the Customer Personal Data, Provider will be deemed a Subprocessor of the Customer Personal Data.</w:t>
      </w:r>
    </w:p>
    <w:p>
      <w:r>
        <w:t xml:space="preserve">2. Processing</w:t>
      </w:r>
    </w:p>
    <w:p>
      <w:r>
        <w:t xml:space="preserve">2.1 Processing Details. Annex I(B) on the Cover Page describes the subject matter, nature, purpose, and duration of this Processing, as well as the Categories of Personal Data collected and Categories of Data Subjects.</w:t>
      </w:r>
    </w:p>
    <w:p>
      <w:r>
        <w:t xml:space="preserve">2.2 Processing Instructions. Customer instructs Provider to Process Customer Personal Data: (a) to provide and maintain the Service; (b) as may be further specified through Customer’s use of the Service; (c) as documented in the Agreement; and (d) as documented in any other written instructions given by Customer and acknowledged by Provider about Processing Customer Personal Data under this DPA. Provider will abide by these instructions unless prohibited from doing so by Applicable Laws. Provider will immediately inform Customer if it is unable to follow the Processing instructions. Customer has given and will only give instructions that comply with Applicable Laws.</w:t>
      </w:r>
    </w:p>
    <w:p>
      <w:r>
        <w:t xml:space="preserve">2.3 Processing by Provider.  Provider will only Process Customer Personal Data in accordance with this DPA, including the details in the Cover Page.</w:t>
      </w:r>
    </w:p>
    <w:p>
      <w:r>
        <w:t xml:space="preserve">2.4 Customer Processing.  Where Customer is a Processor and Provider is a Subprocessor, Customer will comply with all Applicable Laws that apply to Customer’s Processing of Customer Personal Data. Customer’s agreement with its Controller will similarly require Customer to comply with all Applicable Laws that apply to Customer as a Processor. In addition, Customer will comply with the Subprocessor requirements in Customer’s agreement with its Controller.</w:t>
      </w:r>
    </w:p>
    <w:p>
      <w:r>
        <w:t xml:space="preserve">2.5 Consent to Processing.  Customer has complied with and will continue to comply with all Applicable Data Protection Laws concerning its provision of Customer Personal Data to Provider and/or the Service, including making all disclosures, obtaining all consents, providing adequate choice, and implementing relevant safeguards required under Applicable Data Protection Laws.</w:t>
      </w:r>
    </w:p>
    <w:p>
      <w:r>
        <w:t xml:space="preserve">2.6 Subprocessors.</w:t>
      </w:r>
    </w:p>
    <w:p>
      <w:r>
        <w:t xml:space="preserve">(a) Provider will not provide, transfer, or hand over any Customer Personal Data to a Subprocessor unless Customer has approved the Subprocessor. The current list of Approved Subprocessors includes the identities of the Subprocessors, their country of location, and their anticipated Processing tasks. Provider will inform Customer at least 10 business days in advance and in writing of any intended changes to the Approved Subprocessors whether by addition or replacement of a Subprocessor, which allows Customer to have enough time to object to the changes before the Provider begins using the new Subprocessor(s). Provider will give Customer the information necessary to allow Customer to exercise its right to object to the change to Approved Subprocessors. Customer has 30 days after notice of a change to the Approved Subprocessors to object, otherwise Customer will be deemed to accept the changes. If Customer objects to the change within 30 days of notice, Customer and Provider will cooperate in good faith to resolve Customer’s objection or concern.</w:t>
      </w:r>
    </w:p>
    <w:p>
      <w:r>
        <w:t xml:space="preserve">(b) When engaging a Subprocessor, Provider will have a written agreement with the Subprocessor that ensures the Subprocessor only accesses and uses Customer Personal Data (i) to the extent required to perform the obligations subcontracted to it, and (ii) consistent with the terms of Agreement.</w:t>
      </w:r>
    </w:p>
    <w:p>
      <w:r>
        <w:t xml:space="preserve">(c) If the GDPR applies to the Processing of Customer Personal Data, (i) the data protection obligations described in this DPA (as referred to in Article 28(3) of the GDPR, if applicable) are also imposed on the Subprocessor, and (ii) Provider’s agreement with the Subprocessor will incorporate these obligations, including details about how Provider and its Subprocessor will coordinate to respond to inquiries or requests about the Processing of Customer Personal Data. In addition, Provider will share, at Customer’s request, a copy of its agreements (including any amendments) with its Subprocessors. To the extent necessary to protect business secrets or other confidential information, including personal data, Provider may redact the text of its agreement with its Subprocessor prior to sharing a copy.</w:t>
      </w:r>
    </w:p>
    <w:p>
      <w:r>
        <w:t xml:space="preserve">(d) Provider remains fully liable for all obligations subcontracted to its Subprocessors, including the acts and omissions of its Subprocessors in Processing Customer Personal Data. Provider will notify Customer of any failure by its Subprocessors to fulfill a material obligation about Customer Personal Data under the agreement between Provider and the Subprocessor.</w:t>
      </w:r>
    </w:p>
    <w:p>
      <w:r>
        <w:t xml:space="preserve">3. Restricted Transfers</w:t>
      </w:r>
    </w:p>
    <w:p>
      <w:r>
        <w:t xml:space="preserve">3.1 Authorization.  Customer agrees that Provider may transfer Customer Personal Data outside the EEA, the United Kingdom, or other relevant geographic territory as necessary to provide the Service. If Provider transfers Customer Personal Data to a territory for which the European Commission or other relevant supervisory authority has not issued an adequacy decision, Provider will implement appropriate safeguards for the transfer of Customer Personal Data to that territory consistent with Applicable Data Protection Laws.</w:t>
      </w:r>
    </w:p>
    <w:p>
      <w:r>
        <w:t xml:space="preserve">3.2 Ex-EEA Transfers.  Customer and Provider agree that if the GDPR protects the transfer of Customer Personal Data, the transfer is from Customer from within the EEA to Provider outside of the EEA, and the transfer is not governed by an adequacy decision made by the European Commission, then by entering into this DPA, Customer and Provider are deemed to have signed the EEA SCCs and their Annexes, which are incorporated by reference. Any such transfer is made pursuant to the EEA SCCs, which are completed as follows:</w:t>
      </w:r>
    </w:p>
    <w:p>
      <w:r>
        <w:t xml:space="preserve">(a) Module Two (Controller to Processor) of the EEA SCCs apply when Customer is a Controller and Provider is Processing Customer Personal Data for Customer as a Processor.</w:t>
      </w:r>
    </w:p>
    <w:p>
      <w:r>
        <w:t xml:space="preserve">(b) Module Three (Processor to Sub-Processor) of the EEA SCCs apply when Customer is a Processor and Provider is Processing Customer Personal Data on behalf of Customer as a Subprocessor.</w:t>
      </w:r>
    </w:p>
    <w:p>
      <w:r>
        <w:t xml:space="preserve">(c) For each module, the following applies (when applicable):</w:t>
      </w:r>
    </w:p>
    <w:p>
      <w:r>
        <w:t xml:space="preserve">(i) The optional docking clause in Clause 7 does not apply;</w:t>
      </w:r>
    </w:p>
    <w:p>
      <w:r>
        <w:t xml:space="preserve">(ii) In Clause 9, Option 2 (general written authorization) applies, and the minimum time period for prior notice of Subprocessor changes is 10 business days;</w:t>
      </w:r>
    </w:p>
    <w:p>
      <w:r>
        <w:t xml:space="preserve">(iii) In Clause 11, the optional language does not apply;</w:t>
      </w:r>
    </w:p>
    <w:p>
      <w:r>
        <w:t xml:space="preserve">(iv) All square brackets in Clause 13 are removed;</w:t>
      </w:r>
    </w:p>
    <w:p>
      <w:r>
        <w:t xml:space="preserve">(v) In Clause 17 (Option 1), the EEA SCCs will be governed by the laws of Governing Member State;</w:t>
      </w:r>
    </w:p>
    <w:p>
      <w:r>
        <w:t xml:space="preserve">(vi) In Clause 18(b), disputes will be resolved in the courts of the Governing Member State; and</w:t>
      </w:r>
    </w:p>
    <w:p>
      <w:r>
        <w:t xml:space="preserve">(vii) The Cover Page to this DPA contains the information required in Annex I, Annex II, and Annex III of the EEA SCCs.</w:t>
      </w:r>
    </w:p>
    <w:p>
      <w:r>
        <w:t xml:space="preserve">3.3 Ex-UK Transfers. Customer and Provider agree that if the UK GDPR protects the transfer of Customer Personal Data, the transfer is from Customer from within the United Kingdom to Provider outside of the United Kingdom, and the transfer is not governed by an adequacy decision made by the United Kingdom Secretary of State, then by entering into this DPA, Customer and Provider are deemed to have signed the UK Addendum and their Annexes, which are incorporated by reference. Any such transfer is made pursuant to the UK Addendum, which is completed as follows:</w:t>
      </w:r>
    </w:p>
    <w:p>
      <w:r>
        <w:t xml:space="preserve">(a) Section 3.2 of this DPA contains the information required in Table 2 of the UK Addendum.</w:t>
      </w:r>
    </w:p>
    <w:p>
      <w:r>
        <w:t xml:space="preserve">(b) 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r>
        <w:t xml:space="preserve">(c) The Cover Page contains the information required by Annex 1A, Annex 1B, Annex II, and Annex III of the UK Addendum.</w:t>
      </w:r>
    </w:p>
    <w:p>
      <w:r>
        <w:t xml:space="preserve">3.4 Other International Transfers.  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r>
        <w:t xml:space="preserve">4. Security Incident Response</w:t>
      </w:r>
    </w:p>
    <w:p>
      <w:r>
        <w:t xml:space="preserve">Upon becoming aware of any Security Incident, Provider will: (a) notify Customer without undue delay when feasible, but no later than 72 hours after becoming aware of the Security Incident; (b) provide timely information about the Security Incident as it becomes known or as is reasonably requested by Customer; and (c) promptly take reasonable steps to contain and investigate the Security Incident. Provider’s notification of or response to a Security Incident as required by this DPA will not be construed as an acknowledgment by Provider of any fault or liability for the Security Incident.</w:t>
      </w:r>
    </w:p>
    <w:p>
      <w:r>
        <w:t xml:space="preserve">5. Audit &amp; Reports</w:t>
      </w:r>
    </w:p>
    <w:p>
      <w:r>
        <w:t xml:space="preserve">5.1 Audit Rights.  Provider will give Customer all information reasonably necessary to demonstrate its compliance with this DPA and Provider will allow for and contribute to audits, including inspections by Customer, to assess Provider’s compliance with this DPA. However, Provider may restrict access to data or information if Customer’s access to the information would negatively impact Provider’s intellectual property rights, confidentiality obligations, or other obligations under Applicable Laws. Customer acknowledges and agrees that it will only exercise its audit rights under this DPA and any audit rights granted by Applicable Data Protection Laws by instructing Provider to comply with the reporting and due diligence requirements below. Provider will maintain records of its compliance with this DPA for 3 years after the DPA ends.</w:t>
      </w:r>
    </w:p>
    <w:p>
      <w:r>
        <w:t xml:space="preserve">5.2 Security Reports.  Customer acknowledges that Provider is regularly audited against the standards defined in the Security Policy by independent third-party auditors. Upon written request, Provider will give Customer, on a confidential basis, a summary copy of its then-current Report so that Customer can verify Provider’s compliance with the standards defined in the Security Policy.</w:t>
      </w:r>
    </w:p>
    <w:p>
      <w:r>
        <w:t xml:space="preserve">5.3 Security Due Diligence.  In addition to the Report, Provider will respond to reasonable requests for information made by Customer to confirm Provider’s compliance with this DPA, including responses to information security, due diligence, and audit questionnaires, or by giving additional information about its information security program. All such requests must be in writing and made to the Provider Security Contact and may only be made once a year.</w:t>
      </w:r>
    </w:p>
    <w:p>
      <w:r>
        <w:t xml:space="preserve">6. Coordination &amp; Cooperation</w:t>
      </w:r>
    </w:p>
    <w:p>
      <w:r>
        <w:t xml:space="preserve">6.1 Response to Inquiries.  If Provider receives any inquiry or request from anyone else about the Processing of Customer Personal Data, Provider will notify Customer about the request and Provider will not respond to the request without Customer’s prior consent. Examples of these kinds of inquiries and requests include a judicial or administrative or regulatory agency order about Customer Personal Data where notifying Customer is not prohibited by Applicable Law, or a request from a data subject. If allowed by Applicable Law, Provider will follow Customer’s reasonable instructions about these requests, including providing status updates and other information reasonably requested by Customer. If a data subject makes a valid request under Applicable Data Protection Laws to delete or opt out of Customer’s giving of Customer Personal Data to Provider, Provider will assist Customer in fulfilling the request according to the Applicable Data Protection Law. Provider will cooperate with and provide reasonable assistance to Customer, at Customer’s expense, in any legal response or other procedural action taken by Customer in response to a third-party request about Provider’s Processing of Customer Personal Data under this DPA.</w:t>
      </w:r>
    </w:p>
    <w:p>
      <w:r>
        <w:t xml:space="preserve">6.2 DPIAs and DTIAs.  If required by Applicable Data Protection Laws, Provider will reasonably assist Customer in conducting any mandated data protection impact assessments or data transfer impact assessments and consultations with relevant data protection authorities, taking into consideration the nature of the Processing and Customer Personal Data.</w:t>
      </w:r>
    </w:p>
    <w:p>
      <w:r>
        <w:t xml:space="preserve">7. Deletion of Customer Personal Data</w:t>
      </w:r>
    </w:p>
    <w:p>
      <w:r>
        <w:t xml:space="preserve">7.1 Deletion by Customer. Provider will enable Customer to delete Customer Personal Data in a manner consistent with the functionality of the Services. Provider will comply with this instruction as soon as reasonably practicable except where further storage of Customer Personal Data is required by Applicable Law.</w:t>
      </w:r>
    </w:p>
    <w:p>
      <w:r>
        <w:t xml:space="preserve">7.2 Deletion at DPA Expiration.</w:t>
      </w:r>
    </w:p>
    <w:p>
      <w:r>
        <w:t xml:space="preserve">(a) After the DPA expires, Provider will return or delete Customer Personal Data at Customer’s instruction unless further storage of Customer Personal Data is required or authorized by Applicable Law. If return or destruction is impracticable or prohibited by Applicable Laws, Provider will make reasonable efforts to prevent additional Processing of Customer Personal Data and will continue to protect the Customer Personal Data remaining in its possession, custody, or control. For example, Applicable Laws may require Provider to continue hosting or Processing Customer Personal Data.</w:t>
      </w:r>
    </w:p>
    <w:p>
      <w:r>
        <w:t xml:space="preserve">(b) If Customer and Provider have entered the EEA SCCs or the UK Addendum as part of this DPA, Provider will only give Customer the certification of deletion of Personal Data described in Clause 8.1(d) and Clause 8.5 of the EEA SCCs if Customer asks for one.</w:t>
      </w:r>
    </w:p>
    <w:p>
      <w:r>
        <w:t xml:space="preserve">8. Limitation of Liability</w:t>
      </w:r>
    </w:p>
    <w:p>
      <w:r>
        <w:t xml:space="preserve">8.1 Liability Caps and Damages Waiver.  To the maximum extent permitted under Applicable Data Protection Laws, each party’s total cumulative liability to the other party arising out of or related to this DPA will be subject to the waivers, exclusions, and limitations of liability stated in the Agreement.</w:t>
      </w:r>
    </w:p>
    <w:p>
      <w:r>
        <w:t xml:space="preserve">8.2 Related-Party Claims.  Any claims made against Provider or its Affiliates arising out of or related to this DPA may only be brought by the Customer entity that is a party to the Agreement.</w:t>
      </w:r>
    </w:p>
    <w:p>
      <w:r>
        <w:t xml:space="preserve">8.3 Exceptions.  This DPA does not limit any liability to an individual about the individual’s data protection rights under Applicable Data Protection Laws. In addition, this DPA does not limit any liability between the parties for violations of the EEA SCCs or UK Addendum.</w:t>
      </w:r>
    </w:p>
    <w:p>
      <w:r>
        <w:t xml:space="preserve">9. Conflicts Between Documents</w:t>
      </w:r>
    </w:p>
    <w:p>
      <w:r>
        <w:t xml:space="preserve">This DPA forms part of and supplements the Agreement. If there is any inconsistency between this DPA, the Agreement, or any of their parts, the part listed earlier will control over the part listed later for that inconsistency: (1) the EEA SCCs or the UK Addendum, (2) this DPA, and then (3) the Agreement.</w:t>
      </w:r>
    </w:p>
    <w:p>
      <w:r>
        <w:t xml:space="preserve">10. Term of Agreement</w:t>
      </w:r>
    </w:p>
    <w:p>
      <w:r>
        <w:t xml:space="preserve">This DPA will start when Provider and Customer agree to a Cover Page for the DPA and sign or electronically accept the Agreement and will continue until the Agreement expires or is terminated. However, Provider and Customer will each remain subject to the obligations in this DPA and Applicable Data Protection Laws until Customer stops transferring Customer Personal Data to Provider and Provider stops Processing Customer Personal Data.</w:t>
      </w:r>
    </w:p>
    <w:p>
      <w:r>
        <w:t xml:space="preserve">11. Definitions.</w:t>
      </w:r>
    </w:p>
    <w:p>
      <w:r>
        <w:t xml:space="preserve">11.1 “Applicable Laws” means the laws, rules, regulations, court orders, and other binding requirements of a relevant government authority that apply to or govern a party.</w:t>
      </w:r>
    </w:p>
    <w:p>
      <w:r>
        <w:t xml:space="preserve">11.2 “Applicable Data Protection Laws” means the Applicable Laws that govern how the Service may process or use an individual’s personal information, personal data, personally identifiable information, or other similar term.</w:t>
      </w:r>
    </w:p>
    <w:p>
      <w:r>
        <w:t xml:space="preserve">11.3 “Controller” will have the meaning(s) given in the Applicable Data Protection Laws for the company that determines the purpose and extent of Processing Personal Data.</w:t>
      </w:r>
    </w:p>
    <w:p>
      <w:r>
        <w:t xml:space="preserve">11.4 “Cover Page” means a document that is signed or electronically accepted by the parties that incorporates these DPA Standard Terms and identifies Provider, Customer, and the subject matter and details of the data processing.</w:t>
      </w:r>
    </w:p>
    <w:p>
      <w:r>
        <w:t xml:space="preserve">11.5 “Customer Personal Data” means Personal Data that Customer uploads or provides to Provider as part of the Service and that is governed by this DPA.</w:t>
      </w:r>
    </w:p>
    <w:p>
      <w:r>
        <w:t xml:space="preserve">11.6 “DPA” means these DPA Standard Terms, the Cover Page between Provider and Customer, and the policies and documents referenced in or attached to the Cover Page.</w:t>
      </w:r>
    </w:p>
    <w:p>
      <w:r>
        <w:t xml:space="preserve">11.7 “EEA SCCs”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r>
        <w:t xml:space="preserve">11.8 “European Economic Area” or “EEA” means the member states of the European Union, Norway, Iceland, and Liechtenstein.</w:t>
      </w:r>
    </w:p>
    <w:p>
      <w:r>
        <w:t xml:space="preserve">11.9 “GDPR” means European Union Regulation 2016/679 as implemented by local law in the relevant EEA member nation.</w:t>
      </w:r>
    </w:p>
    <w:p>
      <w:r>
        <w:t xml:space="preserve">11.10 “Personal Data” will have the meaning(s) given in the Applicable Data Protection Laws for personal information, personal data, or other similar term.</w:t>
      </w:r>
    </w:p>
    <w:p>
      <w:r>
        <w:t xml:space="preserve">11.11 “Processing” or “Process” will have the meaning(s) given in the Applicable Data Protection Laws for any use of, or performance of a computer operation on, Personal Data, including by automatic methods.</w:t>
      </w:r>
    </w:p>
    <w:p>
      <w:r>
        <w:t xml:space="preserve">11.12 “Processor” will have the meaning(s) given in the Applicable Data Protection Laws for the company that Processes Personal Data on behalf of the Controller.</w:t>
      </w:r>
    </w:p>
    <w:p>
      <w:r>
        <w:t xml:space="preserve">11.13 “Report” means audit reports prepared by another company according to the standards defined in the Security Policy on behalf of Provider.</w:t>
      </w:r>
    </w:p>
    <w:p>
      <w:r>
        <w:t xml:space="preserve">11.14 “Restricted Transfer” means (a) where the GDPR applies, a transfer of personal data from the EEA to a country outside of the EEA which is not subject to an adequacy determination by the European Commission; and (b) where the UK GDPR applies, a transfer of personal data from the United Kingdom to any other country which is not subject to adequacy regulations adopted pursuant to Section 17A of the United Kingdom Data Protection Act 2018.</w:t>
      </w:r>
    </w:p>
    <w:p>
      <w:r>
        <w:t xml:space="preserve">11.15 “Security Incident” means a Personal Data Breach as defined in Article 4 of the GDPR.</w:t>
      </w:r>
    </w:p>
    <w:p>
      <w:r>
        <w:t xml:space="preserve">11.16 “Service” means the product and/or services described in the Agreement.</w:t>
      </w:r>
    </w:p>
    <w:p>
      <w:r>
        <w:t xml:space="preserve">11.17 "Special Category Data” will have the meaning given in Article 9 of the GDPR.</w:t>
      </w:r>
    </w:p>
    <w:p>
      <w:r>
        <w:t xml:space="preserve">11.18 “Subprocessor” will have the meaning(s) given in the Applicable Data Protection Laws for a company that, with the approval and acceptance of Controller, assists the Processor in Processing Personal Data on behalf of the Controller.</w:t>
      </w:r>
    </w:p>
    <w:p>
      <w:r>
        <w:t xml:space="preserve">11.19 “UK GDPR” means European Union Regulation 2016/679 as implemented by section 3 of the United Kingdom’s European Union (Withdrawal) Act of 2018 in the United Kingdom.</w:t>
      </w:r>
    </w:p>
    <w:p>
      <w:r>
        <w:t xml:space="preserve">11.20 “UK Addendum” means the international data transfer addendum to the EEA SCCs issued by the Information Commissioner for Parties making Restricted Transfers under S119A(1) Data Protection Act 2018.</w:t>
      </w:r>
    </w:p>
    <w:p>
      <w:r>
        <w:t xml:space="preserve">Service Level Agreement</w:t>
      </w:r>
    </w:p>
    <w:p>
      <w:r>
        <w:t xml:space="preserve">SLA: The Order Form incorporates the Common Paper Service Level Agreement Standard Terms Version 2.0, with the details below.</w:t>
      </w:r>
    </w:p>
    <w:p>
      <w:r>
        <w:t xml:space="preserve">Target Uptime: 99.9%.</w:t>
      </w:r>
    </w:p>
    <w:p>
      <w:r>
        <w:t xml:space="preserve">Uptime Credit: Where Actual Uptime Percentage is from 99.0% to below the Target Uptime, 5% of the monthly Cloud Service Fee; from 95.0% to below 99.0%, 10%; below 95.0%, 25%.</w:t>
      </w:r>
    </w:p>
    <w:p>
      <w:r>
        <w:t xml:space="preserve">Scheduled Downtime: Routine maintenance between 22:00 and 02:00 UK time on Sundays.</w:t>
      </w:r>
    </w:p>
    <w:p>
      <w:r>
        <w:t xml:space="preserve">Target Response Time: 2 business hours.</w:t>
      </w:r>
    </w:p>
    <w:p>
      <w:r>
        <w:t xml:space="preserve">Response Time Credit: 2% of the monthly Cloud Service Fee for each time Provider fails to meet the Target Response Time.</w:t>
      </w:r>
    </w:p>
    <w:p>
      <w:r>
        <w:t xml:space="preserve">Support Channel: support@halden.example.</w:t>
      </w:r>
    </w:p>
    <w:p>
      <w:r>
        <w:t xml:space="preserve">SLA Standard Terms</w:t>
      </w:r>
    </w:p>
    <w:p>
      <w:r>
        <w:t xml:space="preserve">1. Uptime</w:t>
      </w:r>
    </w:p>
    <w:p>
      <w:r>
        <w:t xml:space="preserve">1.1 Target Uptime.  If there is a Target Uptime, Provider will use commercially reasonable efforts to make the Cloud Service available for at least the Target Uptime as calculated each calendar month.</w:t>
      </w:r>
    </w:p>
    <w:p>
      <w:r>
        <w:t xml:space="preserve">1.2 Calculating Uptime.  Provider and Customer agree to calculate availability of the Cloud Service as the total number of Available Minutes minus the number of Downtime Minutes, divided by the total number of Available Minutes, measured in a calendar month. If the Subscription Period includes a partial month, the numerator and denominator will only include the days that are part of the Subscription Period for that month.</w:t>
      </w:r>
    </w:p>
    <w:p>
      <w:r>
        <w:t xml:space="preserve">2. Response Time</w:t>
      </w:r>
    </w:p>
    <w:p>
      <w:r>
        <w:t xml:space="preserve">2.1 Target Response Time.  If there is a Target Response Time, Provider will use commercially reasonable efforts to respond to support requests sent to the Support Channel within the Target Response Time.</w:t>
      </w:r>
    </w:p>
    <w:p>
      <w:r>
        <w:t xml:space="preserve">2.2 Calculating Response Time.  Provider and Customer agree to calculate Provider's response time as the total time between when Customer submits a support request to the Support Channel and when Provider or Provider's support representative specifically acknowledges the request. An automated response is not a specific acknowledgement for purposes of this SLA.</w:t>
      </w:r>
    </w:p>
    <w:p>
      <w:r>
        <w:t xml:space="preserve">3. Remedies</w:t>
      </w:r>
    </w:p>
    <w:p>
      <w:r>
        <w:t xml:space="preserve">3.1 Service Credit.  If there is a Target Uptime and Cloud Service availability falls below the Target Uptime, Customer is eligible to receive an Uptime Credit. If there is a Target Response Time and neither Provider nor Provider's support representative acknowledge a support request submitted to the Support Channel within the Target Response Time, Customer is eligible to receive a Response Time Credit. Service Credits only apply towards future Cloud Service Fees owed by Customer to Provider.</w:t>
      </w:r>
    </w:p>
    <w:p>
      <w:r>
        <w:t xml:space="preserve">3.2 Requesting A Service Credit.  To receive a Service Credit, Customer must notify Provider within 24 hours of the end of the month in which Customer believes the Service Credit was earned, otherwise Service Credit eligibility will expire for that month.</w:t>
      </w:r>
    </w:p>
    <w:p>
      <w:r>
        <w:t xml:space="preserve">(a) For Uptime Credit, Customer must include information about when it was unable to access the Cloud Service. Customer may be required to provide additional details about its attempts to access the Cloud Service. If Provider can verify Cloud Service unavailability in its internal monitoring systems and the disruption does not qualify as Excluded Minutes or Scheduled Downtime, Provider will calculate and issue the applicable Uptime Credit on Customer’s account to apply towards a future invoice.</w:t>
      </w:r>
    </w:p>
    <w:p>
      <w:r>
        <w:t xml:space="preserve">(b) For Response Time Credit, Customer must include information about when and how Customer contacted Provider. Customer may be required to provide additional details about the related incident and its attempts to receive support. If Provider can verify neither Provider nor Provider's support representative responded to Customer's support request within the Target Response Time, Provider will calculate and issue the applicable Response Time Credit on Customer’s account to apply towards a future invoice.</w:t>
      </w:r>
    </w:p>
    <w:p>
      <w:r>
        <w:t xml:space="preserve">3.3 Service Credit Limitations.  Service Credits may not be exchanged for, or converted to, monetary amounts. Service Credits do not earn interest. Service Credits will not accumulate within a single Subscription Period in an amount more than 8% of Cloud Service Fees for that Subscription Period. Service Credits expire when the applicable Order Form ends.</w:t>
      </w:r>
    </w:p>
    <w:p>
      <w:r>
        <w:t xml:space="preserve">3.4 Termination.  If the Cloud Service does not meet the Target Uptime for two (2) out of any three (3) consecutive months and Customer notified Provider of the failures within 7 days of the end of each impacted month, Customer may immediately terminate the affected Order Form by giving written notice to Provider. If Customer terminates an Order Form under this section, Provider will pay to Customer a prorated refund of prepaid fees for the remainder of the Subscription Period.</w:t>
      </w:r>
    </w:p>
    <w:p>
      <w:r>
        <w:t xml:space="preserve">3.5 Exclusive Remedy.  This SLA describes Customer’s exclusive remedy and Provider’s entire liability for any failure of the Cloud Service to be available or to perform in accordance with the Agreement, including any failure to meet the Target Uptime or the Target Response Time.</w:t>
      </w:r>
    </w:p>
    <w:p>
      <w:r>
        <w:t xml:space="preserve">4. Definitions</w:t>
      </w:r>
    </w:p>
    <w:p>
      <w:r>
        <w:t xml:space="preserve">4.1 “Available Minutes” means the total number of minutes in a calendar month, minus Excluded Minutes and Scheduled Downtime.</w:t>
      </w:r>
    </w:p>
    <w:p>
      <w:r>
        <w:t xml:space="preserve">4.2 “Downtime Minutes” means the total number of minutes in a calendar month when the Cloud Service is not available to Customer, as confirmed by Provider’s internal monitoring systems, minus Excluded Minutes and Scheduled Downtime.</w:t>
      </w:r>
    </w:p>
    <w:p>
      <w:r>
        <w:t xml:space="preserve">4.3 “Excluded Minutes” means when the Cloud Service is not available because of (a) a Force Majeure Event; (b) general Internet connectivity issues; (c) equipment or software made available by anyone other than Provider and that is not within Provider’s reasonable control; or (d) Customer’s use of the Cloud Service in a manner not authorized by the Agreement.</w:t>
      </w:r>
    </w:p>
    <w:p>
      <w:r>
        <w:t xml:space="preserve">4.4 "Service Credit" means the accrued Uptime Credit plus the accrued Response Time Credit.</w:t>
      </w:r>
    </w:p>
    <w:p>
      <w:r>
        <w:t xml:space="preserve">4.5 "SLA" means these SLA Standard Terms as incorporated into the applicable Order Form.</w:t>
      </w:r>
    </w:p>
    <w:p>
      <w:r>
        <w:t xml:space="preserve">4.6 "SLA Standard Terms" means these Common Paper Service Level Agreement Standard Terms Version 2.0, which are posted at https://commonpaper.com/standards/service-level-agreement/2.0/.</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DPA and SLA — Halden Cloud / Northwind Analytics</dc:title>
  <dc:description/>
</cp:coreProperties>
</file>