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ptos" w:cs="Aptos" w:eastAsia="Aptos" w:hAnsi="Aptos"/>
          <w:b/>
          <w:bCs/>
          <w:color w:val="17365D"/>
          <w:spacing w:val="60"/>
          <w:sz w:val="20"/>
          <w:szCs w:val="20"/>
        </w:rPr>
        <w:t xml:space="preserve">REMONLOGIC PRIVATE LIMITED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7365D" w:color="auto" w:val="clear"/>
            <w:tcMar>
              <w:top w:type="dxa" w:w="500"/>
              <w:left w:type="dxa" w:w="500"/>
              <w:bottom w:type="dxa" w:w="500"/>
              <w:right w:type="dxa" w:w="500"/>
            </w:tcMar>
          </w:tcPr>
          <w:p>
            <w:pPr>
              <w:spacing w:after="60"/>
            </w:pPr>
            <w:r>
              <w:rPr>
                <w:rFonts w:ascii="Aptos" w:cs="Aptos" w:eastAsia="Aptos" w:hAnsi="Aptos"/>
                <w:b/>
                <w:bCs/>
                <w:color w:val="FFFFFF"/>
                <w:sz w:val="56"/>
                <w:szCs w:val="56"/>
              </w:rPr>
              <w:t xml:space="preserve">Legal Memo</w:t>
            </w:r>
          </w:p>
          <w:p>
            <w:pPr>
              <w:spacing w:after="240"/>
            </w:pPr>
            <w:r>
              <w:rPr>
                <w:rFonts w:ascii="Aptos" w:cs="Aptos" w:eastAsia="Aptos" w:hAnsi="Aptos"/>
                <w:color w:val="FFFFFF"/>
                <w:sz w:val="56"/>
                <w:szCs w:val="56"/>
              </w:rPr>
              <w:t xml:space="preserve">for Lawyer Review</w:t>
            </w:r>
          </w:p>
          <w:p>
            <w:pPr>
              <w:spacing w:after="160"/>
            </w:pPr>
            <w:r>
              <w:rPr>
                <w:rFonts w:ascii="Aptos" w:cs="Aptos" w:eastAsia="Aptos" w:hAnsi="Aptos"/>
                <w:color w:val="DCE4F0"/>
                <w:sz w:val="24"/>
                <w:szCs w:val="24"/>
              </w:rPr>
              <w:t xml:space="preserve">Company, NexaTute and Remon Motion Studio — facts, applicable law, proposed positions, risks and questions</w:t>
            </w:r>
          </w:p>
          <w:p>
            <w:r>
              <w:rPr>
                <w:rFonts w:ascii="Aptos" w:cs="Aptos" w:eastAsia="Aptos" w:hAnsi="Aptos"/>
                <w:color w:val="DCE4F0"/>
                <w:spacing w:val="40"/>
                <w:sz w:val="20"/>
                <w:szCs w:val="20"/>
              </w:rPr>
              <w:t xml:space="preserve">Drafted by Claude (AI) — to be checked by a Bangladeshi lawyer</w:t>
            </w:r>
          </w:p>
        </w:tc>
      </w:tr>
    </w:tbl>
    <w:p>
      <w:pPr>
        <w:spacing w:after="300" w:before="200"/>
      </w:pPr>
      <w:r>
        <w:rPr>
          <w:rFonts w:ascii="Aptos" w:cs="Aptos" w:eastAsia="Aptos" w:hAnsi="Aptos"/>
          <w:color w:val="44546A"/>
          <w:sz w:val="18"/>
          <w:szCs w:val="18"/>
        </w:rPr>
        <w:t xml:space="preserve">Prepared on 30 October 2026 from the approved plans, owner decisions and a sourced research note on current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Document</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Legal memo with positions and numbered questions for the lawyer, plus a legal go-live checklist</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Company</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 Private Limited (proposed), Dhaka, Bangladesh</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Products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NexaTute, Remon Motion Studio (NexaLogicDev where relevant)</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Status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Draft — positions are proposals, not legal conclusions</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Prepared</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30 October 2026</w:t>
            </w:r>
          </w:p>
        </w:tc>
      </w:tr>
    </w:tbl>
    <w:p>
      <w:pPr>
        <w:spacing w:before="400"/>
      </w:pPr>
      <w:r>
        <w:rPr>
          <w:rFonts w:ascii="Aptos" w:cs="Aptos" w:eastAsia="Aptos" w:hAnsi="Aptos"/>
          <w:color w:val="666666"/>
          <w:sz w:val="16"/>
          <w:szCs w:val="16"/>
        </w:rPr>
        <w:t xml:space="preserve">This memo was prepared by an AI assistant and is not legal advice. Laws and regulator guidance cited come from a research note dated 30 October 2026; items marked [lawyer to confirm] could not be confirmed from official sources and must be checked against the Gazette and regulator publications.</w:t>
      </w:r>
    </w:p>
    <w:p>
      <w:pPr>
        <w:sectPr>
          <w:pgSz w:w="11906" w:h="16838" w:orient="portrait"/>
          <w:pgMar w:top="1200" w:right="1300" w:bottom="1200" w:left="1300" w:header="708" w:footer="708" w:gutter="0"/>
          <w:pgNumType/>
          <w:docGrid w:linePitch="360"/>
        </w:sectPr>
      </w:pPr>
    </w:p>
    <w:p>
      <w:pPr>
        <w:pStyle w:val="Heading1"/>
        <w:pageBreakBefore/>
      </w:pPr>
      <w:r>
        <w:rPr>
          <w:rFonts w:ascii="Aptos" w:cs="Aptos" w:eastAsia="Aptos" w:hAnsi="Aptos"/>
        </w:rPr>
        <w:t xml:space="preserve">Document Control</w:t>
      </w:r>
    </w:p>
    <w:p>
      <w:pPr>
        <w:pBdr>
          <w:left w:val="single" w:color="17365D" w:sz="24" w:space="8"/>
        </w:pBdr>
        <w:shd w:fill="EEF2F8" w:color="auto" w:val="clear"/>
        <w:spacing w:after="160" w:before="120" w:line="276"/>
        <w:ind w:left="200" w:right="120"/>
      </w:pPr>
      <w:r>
        <w:rPr>
          <w:rFonts w:ascii="Aptos" w:cs="Aptos" w:eastAsia="Aptos" w:hAnsi="Aptos"/>
          <w:b/>
          <w:bCs/>
        </w:rPr>
        <w:t xml:space="preserve">Owner decision, 30 October 2026:</w:t>
      </w:r>
      <w:r>
        <w:rPr>
          <w:rFonts w:ascii="Aptos" w:cs="Aptos" w:eastAsia="Aptos" w:hAnsi="Aptos"/>
        </w:rPr>
        <w:t xml:space="preserve"> the company will NOT hold customers' money as a stored balance or wallet. Use </w:t>
      </w:r>
      <w:r>
        <w:rPr>
          <w:rFonts w:ascii="Aptos" w:cs="Aptos" w:eastAsia="Aptos" w:hAnsi="Aptos"/>
          <w:b/>
          <w:bCs/>
        </w:rPr>
        <w:t xml:space="preserve">Option B</w:t>
      </w:r>
      <w:r>
        <w:rPr>
          <w:rFonts w:ascii="Aptos" w:cs="Aptos" w:eastAsia="Aptos" w:hAnsi="Aptos"/>
        </w:rPr>
        <w:t xml:space="preserve"> (pay per order / per plan, no stored balance) wherever two options are given; Option A is kept only for the lawyer's reference. Customer disputes: AI support first, then email to a person who decides — aligned between NexaTute and Remon Motion Studio.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3"/>
        <w:gridCol w:w="7143"/>
      </w:tblGrid>
      <w:tr>
        <w:trPr>
          <w:cantSplit/>
          <w:tblHeader/>
        </w:trPr>
        <w:tc>
          <w:tcPr>
            <w:tcW w:type="dxa" w:w="21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71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Detail</w:t>
            </w:r>
          </w:p>
        </w:tc>
      </w:tr>
      <w:tr>
        <w:trPr>
          <w:cantSplit/>
        </w:trPr>
        <w:tc>
          <w:tcPr>
            <w:tcW w:type="dxa" w:w="21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Document</w:t>
            </w:r>
          </w:p>
        </w:tc>
        <w:tc>
          <w:tcPr>
            <w:tcW w:type="dxa" w:w="7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Memo for Lawyer Review — RemonLogic Private Limited, NexaTute and Remon Motion Studio</w:t>
            </w:r>
          </w:p>
        </w:tc>
      </w:tr>
      <w:tr>
        <w:trPr>
          <w:cantSplit/>
        </w:trPr>
        <w:tc>
          <w:tcPr>
            <w:tcW w:type="dxa" w:w="21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Version</w:t>
            </w:r>
          </w:p>
        </w:tc>
        <w:tc>
          <w:tcPr>
            <w:tcW w:type="dxa" w:w="7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Draft 1, 30 October 2026</w:t>
            </w:r>
          </w:p>
        </w:tc>
      </w:tr>
      <w:tr>
        <w:trPr>
          <w:cantSplit/>
        </w:trPr>
        <w:tc>
          <w:tcPr>
            <w:tcW w:type="dxa" w:w="21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Company</w:t>
            </w:r>
          </w:p>
        </w:tc>
        <w:tc>
          <w:tcPr>
            <w:tcW w:type="dxa" w:w="7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Private Limited, Dhaka, Bangladesh (RJSC application on Sunday 1 November 2026; not yet registered). Registered address: [to insert]</w:t>
            </w:r>
          </w:p>
        </w:tc>
      </w:tr>
      <w:tr>
        <w:trPr>
          <w:cantSplit/>
        </w:trPr>
        <w:tc>
          <w:tcPr>
            <w:tcW w:type="dxa" w:w="21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Products</w:t>
            </w:r>
          </w:p>
        </w:tc>
        <w:tc>
          <w:tcPr>
            <w:tcW w:type="dxa" w:w="7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(nexatute.com) with PlayBoom; Remon Motion Studio (remonlogicstudio.com); NexaLogicDev only where it shares company, wallet or entity questions</w:t>
            </w:r>
          </w:p>
        </w:tc>
      </w:tr>
      <w:tr>
        <w:trPr>
          <w:cantSplit/>
        </w:trPr>
        <w:tc>
          <w:tcPr>
            <w:tcW w:type="dxa" w:w="21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Prepared by</w:t>
            </w:r>
          </w:p>
        </w:tc>
        <w:tc>
          <w:tcPr>
            <w:tcW w:type="dxa" w:w="7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Claude (an AI assistant) at the owner's request, from the blueprints, the owner's decisions of 29–30 October 2026 and the research note of 30 October 2026; for a Bangladeshi lawyer, later an international firm</w:t>
            </w:r>
          </w:p>
        </w:tc>
      </w:tr>
      <w:tr>
        <w:trPr>
          <w:cantSplit/>
        </w:trPr>
        <w:tc>
          <w:tcPr>
            <w:tcW w:type="dxa" w:w="21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Status</w:t>
            </w:r>
          </w:p>
        </w:tc>
        <w:tc>
          <w:tcPr>
            <w:tcW w:type="dxa" w:w="7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Working draft. Not legal advice. Every legal conclusion is a proposal for the lawyer to accept, change or reject</w:t>
            </w:r>
          </w:p>
        </w:tc>
      </w:tr>
    </w:tbl>
    <w:p>
      <w:pPr>
        <w:spacing w:after="120" w:before="0"/>
      </w:pPr>
    </w:p>
    <w:p>
      <w:pPr>
        <w:pBdr>
          <w:left w:val="single" w:color="17365D" w:sz="24" w:space="8"/>
        </w:pBdr>
        <w:shd w:fill="EEF2F8" w:color="auto" w:val="clear"/>
        <w:spacing w:after="160" w:before="120" w:line="276"/>
        <w:ind w:left="200" w:right="120"/>
      </w:pPr>
      <w:r>
        <w:rPr>
          <w:rFonts w:ascii="Aptos" w:cs="Aptos" w:eastAsia="Aptos" w:hAnsi="Aptos"/>
        </w:rPr>
        <w:t xml:space="preserve">Claude is not a lawyer and this memo is not legal advice. It sets out facts, the law as found in sources available on 30 October 2026, and a conservative proposed position for each area, so that a qualified lawyer can decide quickly.</w:t>
      </w:r>
    </w:p>
    <w:p>
      <w:pPr>
        <w:pStyle w:val="Heading1"/>
        <w:pageBreakBefore/>
      </w:pPr>
      <w:r>
        <w:rPr>
          <w:rFonts w:ascii="Aptos" w:cs="Aptos" w:eastAsia="Aptos" w:hAnsi="Aptos"/>
        </w:rPr>
        <w:t xml:space="preserve">How to Use This Memo</w:t>
      </w:r>
    </w:p>
    <w:p>
      <w:pPr>
        <w:pStyle w:val="Heading2"/>
      </w:pPr>
      <w:r>
        <w:rPr>
          <w:rFonts w:ascii="Aptos" w:cs="Aptos" w:eastAsia="Aptos" w:hAnsi="Aptos"/>
        </w:rPr>
        <w:t xml:space="preserve">Purpose and structure</w:t>
      </w:r>
    </w:p>
    <w:p>
      <w:pPr>
        <w:spacing w:after="140" w:before="0" w:line="288"/>
      </w:pPr>
      <w:r>
        <w:rPr>
          <w:rFonts w:ascii="Aptos" w:cs="Aptos" w:eastAsia="Aptos" w:hAnsi="Aptos"/>
        </w:rPr>
        <w:t xml:space="preserve">The other drafts in this legal pack (memorandum and articles, NexaTute and Motion Studio legal pages) follow this memo's positions; when the lawyer changes a position here, those drafts change with it. Each of chapters 1–14 covers one legal area in six parts:</w:t>
      </w:r>
    </w:p>
    <w:p>
      <w:pPr>
        <w:pStyle w:val="ListParagraph"/>
        <w:numPr>
          <w:ilvl w:val="0"/>
          <w:numId w:val="2"/>
        </w:numPr>
        <w:spacing w:after="60" w:before="0"/>
      </w:pPr>
      <w:r>
        <w:rPr>
          <w:rFonts w:ascii="Aptos" w:cs="Aptos" w:eastAsia="Aptos" w:hAnsi="Aptos"/>
        </w:rPr>
        <w:t xml:space="preserve">Facts — what the company plans to do, from the blueprints and the owner's decisions.</w:t>
      </w:r>
    </w:p>
    <w:p>
      <w:pPr>
        <w:pStyle w:val="ListParagraph"/>
        <w:numPr>
          <w:ilvl w:val="0"/>
          <w:numId w:val="2"/>
        </w:numPr>
        <w:spacing w:after="60" w:before="0"/>
      </w:pPr>
      <w:r>
        <w:rPr>
          <w:rFonts w:ascii="Aptos" w:cs="Aptos" w:eastAsia="Aptos" w:hAnsi="Aptos"/>
        </w:rPr>
        <w:t xml:space="preserve">Applicable law — name, year, status and research confidence.</w:t>
      </w:r>
    </w:p>
    <w:p>
      <w:pPr>
        <w:pStyle w:val="ListParagraph"/>
        <w:numPr>
          <w:ilvl w:val="0"/>
          <w:numId w:val="2"/>
        </w:numPr>
        <w:spacing w:after="60" w:before="0"/>
      </w:pPr>
      <w:r>
        <w:rPr>
          <w:rFonts w:ascii="Aptos" w:cs="Aptos" w:eastAsia="Aptos" w:hAnsi="Aptos"/>
        </w:rPr>
        <w:t xml:space="preserve">Our proposed position — practical and conservative; options where a choice is needed.</w:t>
      </w:r>
    </w:p>
    <w:p>
      <w:pPr>
        <w:pStyle w:val="ListParagraph"/>
        <w:numPr>
          <w:ilvl w:val="0"/>
          <w:numId w:val="2"/>
        </w:numPr>
        <w:spacing w:after="60" w:before="0"/>
      </w:pPr>
      <w:r>
        <w:rPr>
          <w:rFonts w:ascii="Aptos" w:cs="Aptos" w:eastAsia="Aptos" w:hAnsi="Aptos"/>
        </w:rPr>
        <w:t xml:space="preserve">Risks if wrong.</w:t>
      </w:r>
    </w:p>
    <w:p>
      <w:pPr>
        <w:pStyle w:val="ListParagraph"/>
        <w:numPr>
          <w:ilvl w:val="0"/>
          <w:numId w:val="2"/>
        </w:numPr>
        <w:spacing w:after="60" w:before="0"/>
      </w:pPr>
      <w:r>
        <w:rPr>
          <w:rFonts w:ascii="Aptos" w:cs="Aptos" w:eastAsia="Aptos" w:hAnsi="Aptos"/>
        </w:rPr>
        <w:t xml:space="preserve">Questions for the lawyer — numbered, so answers can be returned as "2.6.4: yes, with this change".</w:t>
      </w:r>
    </w:p>
    <w:p>
      <w:pPr>
        <w:pStyle w:val="ListParagraph"/>
        <w:numPr>
          <w:ilvl w:val="0"/>
          <w:numId w:val="2"/>
        </w:numPr>
        <w:spacing w:after="60" w:before="0"/>
      </w:pPr>
      <w:r>
        <w:rPr>
          <w:rFonts w:ascii="Aptos" w:cs="Aptos" w:eastAsia="Aptos" w:hAnsi="Aptos"/>
        </w:rPr>
        <w:t xml:space="preserve">Documents and actions needed.</w:t>
      </w:r>
    </w:p>
    <w:p>
      <w:pPr>
        <w:spacing w:after="140" w:before="0" w:line="288"/>
      </w:pPr>
      <w:r>
        <w:rPr>
          <w:rFonts w:ascii="Aptos" w:cs="Aptos" w:eastAsia="Aptos" w:hAnsi="Aptos"/>
        </w:rPr>
        <w:t xml:space="preserve">Chapter 15 is the legal go-live checklist (item, owner, milestone).</w:t>
      </w:r>
    </w:p>
    <w:p>
      <w:pPr>
        <w:pStyle w:val="Heading2"/>
      </w:pPr>
      <w:r>
        <w:rPr>
          <w:rFonts w:ascii="Aptos" w:cs="Aptos" w:eastAsia="Aptos" w:hAnsi="Aptos"/>
        </w:rPr>
        <w:t xml:space="preserve">Markers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6204"/>
      </w:tblGrid>
      <w:tr>
        <w:trPr>
          <w:cantSplit/>
          <w:tblHeader/>
        </w:trPr>
        <w:tc>
          <w:tcPr>
            <w:tcW w:type="dxa" w:w="310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Marker</w:t>
            </w:r>
          </w:p>
        </w:tc>
        <w:tc>
          <w:tcPr>
            <w:tcW w:type="dxa" w:w="620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Meaning</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legal conclusion not verified from a primary source, or marked "could not confirm" in the research</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c>
          <w:tcPr>
            <w:tcW w:type="dxa" w:w="62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missing fact (address, names, numbers, dates); never invented</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(default, editable)</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business value chosen by Claude that the owner can change in the admin panel</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Confidence high / medium / low</w:t>
            </w:r>
          </w:p>
        </w:tc>
        <w:tc>
          <w:tcPr>
            <w:tcW w:type="dxa" w:w="62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primary text read; medium = reputable secondary sources agree; low = one source, conflicting sources or general knowledge</w:t>
            </w:r>
          </w:p>
        </w:tc>
      </w:tr>
    </w:tbl>
    <w:p>
      <w:pPr>
        <w:spacing w:after="120" w:before="0"/>
      </w:pPr>
    </w:p>
    <w:p>
      <w:pPr>
        <w:pStyle w:val="Heading2"/>
      </w:pPr>
      <w:r>
        <w:rPr>
          <w:rFonts w:ascii="Aptos" w:cs="Aptos" w:eastAsia="Aptos" w:hAnsi="Aptos"/>
        </w:rPr>
        <w:t xml:space="preserve">Limits of the research</w:t>
      </w:r>
    </w:p>
    <w:p>
      <w:pPr>
        <w:pStyle w:val="ListParagraph"/>
        <w:numPr>
          <w:ilvl w:val="0"/>
          <w:numId w:val="3"/>
        </w:numPr>
        <w:spacing w:after="60" w:before="0"/>
      </w:pPr>
      <w:r>
        <w:rPr>
          <w:rFonts w:ascii="Aptos" w:cs="Aptos" w:eastAsia="Aptos" w:hAnsi="Aptos"/>
        </w:rPr>
        <w:t xml:space="preserve">The Acts passed in April 2026 (when Parliament converted the interim-government ordinances) were not found on the official laws website; Act and section numbers must be checked in the Bangladesh Gazette. This affects the Personal Data Protection Act 2026, the Cyber Security Act 2026 and the National Data Management Act 2026. The Master Blueprint's draft opinion cites Acts 63, 81 and 80 of 2026; these numbers are unverified [lawyer to confirm].</w:t>
      </w:r>
    </w:p>
    <w:p>
      <w:pPr>
        <w:pStyle w:val="ListParagraph"/>
        <w:numPr>
          <w:ilvl w:val="0"/>
          <w:numId w:val="3"/>
        </w:numPr>
        <w:spacing w:after="60" w:before="0"/>
      </w:pPr>
      <w:r>
        <w:rPr>
          <w:rFonts w:ascii="Aptos" w:cs="Aptos" w:eastAsia="Aptos" w:hAnsi="Aptos"/>
        </w:rPr>
        <w:t xml:space="preserve">Employment, trade-licence, trademark and outward-investment rules were not researched.</w:t>
      </w:r>
    </w:p>
    <w:p>
      <w:pPr>
        <w:pStyle w:val="Heading2"/>
      </w:pPr>
      <w:r>
        <w:rPr>
          <w:rFonts w:ascii="Aptos" w:cs="Aptos" w:eastAsia="Aptos" w:hAnsi="Aptos"/>
        </w:rPr>
        <w:t xml:space="preserve">Milestones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4"/>
        <w:gridCol w:w="6342"/>
      </w:tblGrid>
      <w:tr>
        <w:trPr>
          <w:cantSplit/>
          <w:tblHeader/>
        </w:trPr>
        <w:tc>
          <w:tcPr>
            <w:tcW w:type="dxa" w:w="296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Milestone</w:t>
            </w:r>
          </w:p>
        </w:tc>
        <w:tc>
          <w:tcPr>
            <w:tcW w:type="dxa" w:w="63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Date</w:t>
            </w:r>
          </w:p>
        </w:tc>
      </w:tr>
      <w:tr>
        <w:trPr>
          <w:cantSplit/>
        </w:trPr>
        <w:tc>
          <w:tcPr>
            <w:tcW w:type="dxa" w:w="29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RJSC filing</w:t>
            </w:r>
          </w:p>
        </w:tc>
        <w:tc>
          <w:tcPr>
            <w:tcW w:type="dxa" w:w="63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Sunday 1 November 2026</w:t>
            </w:r>
          </w:p>
        </w:tc>
      </w:tr>
      <w:tr>
        <w:trPr>
          <w:cantSplit/>
        </w:trPr>
        <w:tc>
          <w:tcPr>
            <w:tcW w:type="dxa" w:w="29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website &amp; approvals</w:t>
            </w:r>
          </w:p>
        </w:tc>
        <w:tc>
          <w:tcPr>
            <w:tcW w:type="dxa" w:w="63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November 2026, once the company exists</w:t>
            </w:r>
          </w:p>
        </w:tc>
      </w:tr>
      <w:tr>
        <w:trPr>
          <w:cantSplit/>
        </w:trPr>
        <w:tc>
          <w:tcPr>
            <w:tcW w:type="dxa" w:w="29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Free Beta</w:t>
            </w:r>
          </w:p>
        </w:tc>
        <w:tc>
          <w:tcPr>
            <w:tcW w:type="dxa" w:w="63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20 November 2026; Motion Studio pilot about 6 December and Free Beta 20 December 2026; PlayBoom 1 January 2027</w:t>
            </w:r>
          </w:p>
        </w:tc>
      </w:tr>
      <w:tr>
        <w:trPr>
          <w:cantSplit/>
        </w:trPr>
        <w:tc>
          <w:tcPr>
            <w:tcW w:type="dxa" w:w="29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paid launch</w:t>
            </w:r>
          </w:p>
        </w:tc>
        <w:tc>
          <w:tcPr>
            <w:tcW w:type="dxa" w:w="63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1 January 2027; PlayBoom 21 January 2027; Motion Studio date to be set</w:t>
            </w:r>
          </w:p>
        </w:tc>
      </w:tr>
      <w:tr>
        <w:trPr>
          <w:cantSplit/>
        </w:trPr>
        <w:tc>
          <w:tcPr>
            <w:tcW w:type="dxa" w:w="29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EU-US marketing</w:t>
            </w:r>
          </w:p>
        </w:tc>
        <w:tc>
          <w:tcPr>
            <w:tcW w:type="dxa" w:w="63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dated</w:t>
            </w:r>
          </w:p>
        </w:tc>
      </w:tr>
    </w:tbl>
    <w:p>
      <w:pPr>
        <w:spacing w:after="120" w:before="0"/>
      </w:pPr>
    </w:p>
    <w:p>
      <w:pPr>
        <w:pStyle w:val="Heading2"/>
      </w:pPr>
      <w:r>
        <w:rPr>
          <w:rFonts w:ascii="Aptos" w:cs="Aptos" w:eastAsia="Aptos" w:hAnsi="Aptos"/>
        </w:rPr>
        <w:t xml:space="preserve">The ten questions that matter most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
        <w:gridCol w:w="3143"/>
        <w:gridCol w:w="3063"/>
        <w:gridCol w:w="1463"/>
        <w:gridCol w:w="951"/>
      </w:tblGrid>
      <w:tr>
        <w:trPr>
          <w:cantSplit/>
          <w:tblHeader/>
        </w:trPr>
        <w:tc>
          <w:tcPr>
            <w:tcW w:type="dxa" w:w="6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31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Question for the lawyer</w:t>
            </w:r>
          </w:p>
        </w:tc>
        <w:tc>
          <w:tcPr>
            <w:tcW w:type="dxa" w:w="30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Why it matters</w:t>
            </w:r>
          </w:p>
        </w:tc>
        <w:tc>
          <w:tcPr>
            <w:tcW w:type="dxa" w:w="14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Urgency</w:t>
            </w:r>
          </w:p>
        </w:tc>
        <w:tc>
          <w:tcPr>
            <w:tcW w:type="dxa" w:w="9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3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 the objects clause wide enough for every planned activity, so no later High Court application is needed?</w:t>
            </w:r>
          </w:p>
        </w:tc>
        <w:tc>
          <w:tcPr>
            <w:tcW w:type="dxa" w:w="30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Changing objects needs a special resolution and High Court confirmation</w:t>
            </w:r>
          </w:p>
        </w:tc>
        <w:tc>
          <w:tcPr>
            <w:tcW w:type="dxa" w:w="14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RJSC filing</w:t>
            </w:r>
          </w:p>
        </w:tc>
        <w:tc>
          <w:tcPr>
            <w:tcW w:type="dxa" w:w="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c>
          <w:tcPr>
            <w:tcW w:type="dxa" w:w="3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Who contracts with users and controls their data before incorporation, and what may the websites say until then?</w:t>
            </w:r>
          </w:p>
        </w:tc>
        <w:tc>
          <w:tcPr>
            <w:tcW w:type="dxa" w:w="30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Free Beta starts 20 November 2026, possibly before incorporation</w:t>
            </w:r>
          </w:p>
        </w:tc>
        <w:tc>
          <w:tcPr>
            <w:tcW w:type="dxa" w:w="14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website &amp; approvals</w:t>
            </w:r>
          </w:p>
        </w:tc>
        <w:tc>
          <w:tcPr>
            <w:tcW w:type="dxa" w:w="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1, 6</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3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 the non-cash-out wallet a "closed Prepaid Instrument", and which of the four redesign options should be adopted?</w:t>
            </w:r>
          </w:p>
        </w:tc>
        <w:tc>
          <w:tcPr>
            <w:tcW w:type="dxa" w:w="30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Unapproved issue is an offence (up to 5 years and/or Tk 50 lakh); the company cannot meet the eligibility criteria</w:t>
            </w:r>
          </w:p>
        </w:tc>
        <w:tc>
          <w:tcPr>
            <w:tcW w:type="dxa" w:w="14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Free Beta (design)</w:t>
            </w:r>
          </w:p>
        </w:tc>
        <w:tc>
          <w:tcPr>
            <w:tcW w:type="dxa" w:w="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c>
          <w:tcPr>
            <w:tcW w:type="dxa" w:w="3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May NexaTute run any engagement analytics, reminders or offers for under-18 learners, even with guardian consent? Is a guardian OTP enough?</w:t>
            </w:r>
          </w:p>
        </w:tc>
        <w:tc>
          <w:tcPr>
            <w:tcW w:type="dxa" w:w="30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2026 data law reportedly bans tracking, profiling and targeted ads directed at children</w:t>
            </w:r>
          </w:p>
        </w:tc>
        <w:tc>
          <w:tcPr>
            <w:tcW w:type="dxa" w:w="14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Free Beta</w:t>
            </w:r>
          </w:p>
        </w:tc>
        <w:tc>
          <w:tcPr>
            <w:tcW w:type="dxa" w:w="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6, 8</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w:t>
            </w:r>
          </w:p>
        </w:tc>
        <w:tc>
          <w:tcPr>
            <w:tcW w:type="dxa" w:w="3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 the voice and face consent framework sufficient, and should third-party and deceased-person cloning stay off at launch?</w:t>
            </w:r>
          </w:p>
        </w:tc>
        <w:tc>
          <w:tcPr>
            <w:tcW w:type="dxa" w:w="30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Biometric data, AI-enabled offences, US voice laws; the owner requires the lawyer's check first</w:t>
            </w:r>
          </w:p>
        </w:tc>
        <w:tc>
          <w:tcPr>
            <w:tcW w:type="dxa" w:w="14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Free Beta</w:t>
            </w:r>
          </w:p>
        </w:tc>
        <w:tc>
          <w:tcPr>
            <w:tcW w:type="dxa" w:w="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c>
          <w:tcPr>
            <w:tcW w:type="dxa" w:w="3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Are the model and asset licences safe (FLUX.1 schnell vs dev, Wan 2.2, 17 items still to verify, images, LoRA data, music)?</w:t>
            </w:r>
          </w:p>
        </w:tc>
        <w:tc>
          <w:tcPr>
            <w:tcW w:type="dxa" w:w="30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FLUX.1-dev cannot serve end users without a paid licence, even in a free beta</w:t>
            </w:r>
          </w:p>
        </w:tc>
        <w:tc>
          <w:tcPr>
            <w:tcW w:type="dxa" w:w="14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Free Beta</w:t>
            </w:r>
          </w:p>
        </w:tc>
        <w:tc>
          <w:tcPr>
            <w:tcW w:type="dxa" w:w="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w:t>
            </w:r>
          </w:p>
        </w:tc>
        <w:tc>
          <w:tcPr>
            <w:tcW w:type="dxa" w:w="3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Can sales be collected through Vitlous Technology's aamarPay account meanwhile, or must paid launch wait for RemonLogic's own account?</w:t>
            </w:r>
          </w:p>
        </w:tc>
        <w:tc>
          <w:tcPr>
            <w:tcW w:type="dxa" w:w="30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Possible unlicensed aggregation, tax and disclosure problems</w:t>
            </w:r>
          </w:p>
        </w:tc>
        <w:tc>
          <w:tcPr>
            <w:tcW w:type="dxa" w:w="14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paid launch</w:t>
            </w:r>
          </w:p>
        </w:tc>
        <w:tc>
          <w:tcPr>
            <w:tcW w:type="dxa" w:w="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w:t>
            </w:r>
          </w:p>
        </w:tc>
        <w:tc>
          <w:tcPr>
            <w:tcW w:type="dxa" w:w="3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Does the DCOG 2021 bind a SaaS provider; must refunds go to the original channel within 10 days; must terms be in Bangla?</w:t>
            </w:r>
          </w:p>
        </w:tc>
        <w:tc>
          <w:tcPr>
            <w:tcW w:type="dxa" w:w="30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design refunds to the wallet and makes English prevail</w:t>
            </w:r>
          </w:p>
        </w:tc>
        <w:tc>
          <w:tcPr>
            <w:tcW w:type="dxa" w:w="14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paid launch</w:t>
            </w:r>
          </w:p>
        </w:tc>
        <w:tc>
          <w:tcPr>
            <w:tcW w:type="dxa" w:w="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w:t>
            </w:r>
          </w:p>
        </w:tc>
        <w:tc>
          <w:tcPr>
            <w:tcW w:type="dxa" w:w="3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Which VAT rates apply, when is VAT due on prepaid amounts, and do the ITES exemption and 0% startup VAT apply?</w:t>
            </w:r>
          </w:p>
        </w:tc>
        <w:tc>
          <w:tcPr>
            <w:tcW w:type="dxa" w:w="30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Prices are VAT-inclusive; a wrong rate affects every receipt</w:t>
            </w:r>
          </w:p>
        </w:tc>
        <w:tc>
          <w:tcPr>
            <w:tcW w:type="dxa" w:w="14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paid launch</w:t>
            </w:r>
          </w:p>
        </w:tc>
        <w:tc>
          <w:tcPr>
            <w:tcW w:type="dxa" w:w="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c>
          <w:tcPr>
            <w:tcW w:type="dxa" w:w="3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Sell through Paddle in the company's own name without a USA LLC? What is needed for EU/US (GDPR/UK representatives, COPPA, DMCA, NCMEC, AI Act marking)?</w:t>
            </w:r>
          </w:p>
        </w:tc>
        <w:tc>
          <w:tcPr>
            <w:tcW w:type="dxa" w:w="30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FX rules on foreign ownership and proceeds abroad; EU, UK and US duties from the first sale</w:t>
            </w:r>
          </w:p>
        </w:tc>
        <w:tc>
          <w:tcPr>
            <w:tcW w:type="dxa" w:w="14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EU-US marketing</w:t>
            </w:r>
          </w:p>
        </w:tc>
        <w:tc>
          <w:tcPr>
            <w:tcW w:type="dxa" w:w="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1, 5, 7, 14</w:t>
            </w:r>
          </w:p>
        </w:tc>
      </w:tr>
    </w:tbl>
    <w:p>
      <w:pPr>
        <w:spacing w:after="120" w:before="0"/>
      </w:pPr>
    </w:p>
    <w:p>
      <w:pPr>
        <w:pStyle w:val="Heading1"/>
        <w:pageBreakBefore/>
      </w:pPr>
      <w:r>
        <w:rPr>
          <w:rFonts w:ascii="Aptos" w:cs="Aptos" w:eastAsia="Aptos" w:hAnsi="Aptos"/>
        </w:rPr>
        <w:t xml:space="preserve">Contents</w:t>
      </w:r>
    </w:p>
    <w:p>
      <w:pPr>
        <w:tabs>
          <w:tab w:val="right" w:pos="9306" w:leader="dot"/>
        </w:tabs>
        <w:spacing w:after="30" w:before="100"/>
        <w:ind w:left="0"/>
      </w:pPr>
      <w:r>
        <w:rPr>
          <w:rFonts w:ascii="Aptos" w:cs="Aptos" w:eastAsia="Aptos" w:hAnsi="Aptos"/>
          <w:b/>
          <w:bCs/>
          <w:color w:val="17365D"/>
          <w:sz w:val="19"/>
          <w:szCs w:val="19"/>
        </w:rPr>
        <w:t xml:space="preserve">1. Company Formation, Objects Clause and Entity Structure</w:t>
      </w:r>
      <w:r>
        <w:rPr>
          <w:rFonts w:ascii="Aptos" w:cs="Aptos" w:eastAsia="Aptos" w:hAnsi="Aptos"/>
          <w:sz w:val="19"/>
          <w:szCs w:val="19"/>
        </w:rPr>
        <w:tab/>
      </w:r>
      <w:r>
        <w:rPr>
          <w:rFonts w:ascii="Aptos" w:cs="Aptos" w:eastAsia="Aptos" w:hAnsi="Aptos"/>
          <w:b/>
          <w:bCs/>
          <w:sz w:val="19"/>
          <w:szCs w:val="19"/>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1.1 Facts</w:t>
      </w:r>
      <w:r>
        <w:rPr>
          <w:rFonts w:ascii="Aptos" w:cs="Aptos" w:eastAsia="Aptos" w:hAnsi="Aptos"/>
          <w:sz w:val="17"/>
          <w:szCs w:val="17"/>
        </w:rPr>
        <w:tab/>
      </w:r>
      <w:r>
        <w:rPr>
          <w:rFonts w:ascii="Aptos" w:cs="Aptos" w:eastAsia="Aptos" w:hAnsi="Aptos"/>
          <w:b w:val="false"/>
          <w:bCs w:val="false"/>
          <w:sz w:val="17"/>
          <w:szCs w:val="17"/>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1.2 Applicable law</w:t>
      </w:r>
      <w:r>
        <w:rPr>
          <w:rFonts w:ascii="Aptos" w:cs="Aptos" w:eastAsia="Aptos" w:hAnsi="Aptos"/>
          <w:sz w:val="17"/>
          <w:szCs w:val="17"/>
        </w:rPr>
        <w:tab/>
      </w:r>
      <w:r>
        <w:rPr>
          <w:rFonts w:ascii="Aptos" w:cs="Aptos" w:eastAsia="Aptos" w:hAnsi="Aptos"/>
          <w:b w:val="false"/>
          <w:bCs w:val="false"/>
          <w:sz w:val="17"/>
          <w:szCs w:val="17"/>
        </w:rPr>
        <w:t xml:space="preserve">7</w:t>
      </w:r>
    </w:p>
    <w:p>
      <w:pPr>
        <w:tabs>
          <w:tab w:val="right" w:pos="9306" w:leader="dot"/>
        </w:tabs>
        <w:spacing w:after="10" w:before="0"/>
        <w:ind w:left="360"/>
      </w:pPr>
      <w:r>
        <w:rPr>
          <w:rFonts w:ascii="Aptos" w:cs="Aptos" w:eastAsia="Aptos" w:hAnsi="Aptos"/>
          <w:b w:val="false"/>
          <w:bCs w:val="false"/>
          <w:color w:val="111111"/>
          <w:sz w:val="17"/>
          <w:szCs w:val="17"/>
        </w:rPr>
        <w:t xml:space="preserve">1.3 Our proposed position</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1.4 Risks if wrong</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1.5 Questions for the lawyer</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1.6 Documents and actions needed</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30" w:before="100"/>
        <w:ind w:left="0"/>
      </w:pPr>
      <w:r>
        <w:rPr>
          <w:rFonts w:ascii="Aptos" w:cs="Aptos" w:eastAsia="Aptos" w:hAnsi="Aptos"/>
          <w:b/>
          <w:bCs/>
          <w:color w:val="17365D"/>
          <w:sz w:val="19"/>
          <w:szCs w:val="19"/>
        </w:rPr>
        <w:t xml:space="preserve">2. Prepaid Wallet and Payment-Services Law</w:t>
      </w:r>
      <w:r>
        <w:rPr>
          <w:rFonts w:ascii="Aptos" w:cs="Aptos" w:eastAsia="Aptos" w:hAnsi="Aptos"/>
          <w:sz w:val="19"/>
          <w:szCs w:val="19"/>
        </w:rPr>
        <w:tab/>
      </w:r>
      <w:r>
        <w:rPr>
          <w:rFonts w:ascii="Aptos" w:cs="Aptos" w:eastAsia="Aptos" w:hAnsi="Aptos"/>
          <w:b/>
          <w:bCs/>
          <w:sz w:val="19"/>
          <w:szCs w:val="19"/>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2.1 Facts</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2.2 Applicable law</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2.3 The finding</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10" w:before="0"/>
        <w:ind w:left="360"/>
      </w:pPr>
      <w:r>
        <w:rPr>
          <w:rFonts w:ascii="Aptos" w:cs="Aptos" w:eastAsia="Aptos" w:hAnsi="Aptos"/>
          <w:b w:val="false"/>
          <w:bCs w:val="false"/>
          <w:color w:val="111111"/>
          <w:sz w:val="17"/>
          <w:szCs w:val="17"/>
        </w:rPr>
        <w:t xml:space="preserve">2.4 Our proposed position — four options</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10" w:before="0"/>
        <w:ind w:left="360"/>
      </w:pPr>
      <w:r>
        <w:rPr>
          <w:rFonts w:ascii="Aptos" w:cs="Aptos" w:eastAsia="Aptos" w:hAnsi="Aptos"/>
          <w:b w:val="false"/>
          <w:bCs w:val="false"/>
          <w:color w:val="111111"/>
          <w:sz w:val="17"/>
          <w:szCs w:val="17"/>
        </w:rPr>
        <w:t xml:space="preserve">2.5 Risks if wrong</w:t>
      </w:r>
      <w:r>
        <w:rPr>
          <w:rFonts w:ascii="Aptos" w:cs="Aptos" w:eastAsia="Aptos" w:hAnsi="Aptos"/>
          <w:sz w:val="17"/>
          <w:szCs w:val="17"/>
        </w:rPr>
        <w:tab/>
      </w:r>
      <w:r>
        <w:rPr>
          <w:rFonts w:ascii="Aptos" w:cs="Aptos" w:eastAsia="Aptos" w:hAnsi="Aptos"/>
          <w:b w:val="false"/>
          <w:bCs w:val="false"/>
          <w:sz w:val="17"/>
          <w:szCs w:val="17"/>
        </w:rPr>
        <w:t xml:space="preserve">11</w:t>
      </w:r>
    </w:p>
    <w:p>
      <w:pPr>
        <w:tabs>
          <w:tab w:val="right" w:pos="9306" w:leader="dot"/>
        </w:tabs>
        <w:spacing w:after="10" w:before="0"/>
        <w:ind w:left="360"/>
      </w:pPr>
      <w:r>
        <w:rPr>
          <w:rFonts w:ascii="Aptos" w:cs="Aptos" w:eastAsia="Aptos" w:hAnsi="Aptos"/>
          <w:b w:val="false"/>
          <w:bCs w:val="false"/>
          <w:color w:val="111111"/>
          <w:sz w:val="17"/>
          <w:szCs w:val="17"/>
        </w:rPr>
        <w:t xml:space="preserve">2.6 Questions for the lawyer</w:t>
      </w:r>
      <w:r>
        <w:rPr>
          <w:rFonts w:ascii="Aptos" w:cs="Aptos" w:eastAsia="Aptos" w:hAnsi="Aptos"/>
          <w:sz w:val="17"/>
          <w:szCs w:val="17"/>
        </w:rPr>
        <w:tab/>
      </w:r>
      <w:r>
        <w:rPr>
          <w:rFonts w:ascii="Aptos" w:cs="Aptos" w:eastAsia="Aptos" w:hAnsi="Aptos"/>
          <w:b w:val="false"/>
          <w:bCs w:val="false"/>
          <w:sz w:val="17"/>
          <w:szCs w:val="17"/>
        </w:rPr>
        <w:t xml:space="preserve">11</w:t>
      </w:r>
    </w:p>
    <w:p>
      <w:pPr>
        <w:tabs>
          <w:tab w:val="right" w:pos="9306" w:leader="dot"/>
        </w:tabs>
        <w:spacing w:after="10" w:before="0"/>
        <w:ind w:left="360"/>
      </w:pPr>
      <w:r>
        <w:rPr>
          <w:rFonts w:ascii="Aptos" w:cs="Aptos" w:eastAsia="Aptos" w:hAnsi="Aptos"/>
          <w:b w:val="false"/>
          <w:bCs w:val="false"/>
          <w:color w:val="111111"/>
          <w:sz w:val="17"/>
          <w:szCs w:val="17"/>
        </w:rPr>
        <w:t xml:space="preserve">2.7 Documents and actions needed</w:t>
      </w:r>
      <w:r>
        <w:rPr>
          <w:rFonts w:ascii="Aptos" w:cs="Aptos" w:eastAsia="Aptos" w:hAnsi="Aptos"/>
          <w:sz w:val="17"/>
          <w:szCs w:val="17"/>
        </w:rPr>
        <w:tab/>
      </w:r>
      <w:r>
        <w:rPr>
          <w:rFonts w:ascii="Aptos" w:cs="Aptos" w:eastAsia="Aptos" w:hAnsi="Aptos"/>
          <w:b w:val="false"/>
          <w:bCs w:val="false"/>
          <w:sz w:val="17"/>
          <w:szCs w:val="17"/>
        </w:rPr>
        <w:t xml:space="preserve">11</w:t>
      </w:r>
    </w:p>
    <w:p>
      <w:pPr>
        <w:tabs>
          <w:tab w:val="right" w:pos="9306" w:leader="dot"/>
        </w:tabs>
        <w:spacing w:after="30" w:before="100"/>
        <w:ind w:left="0"/>
      </w:pPr>
      <w:r>
        <w:rPr>
          <w:rFonts w:ascii="Aptos" w:cs="Aptos" w:eastAsia="Aptos" w:hAnsi="Aptos"/>
          <w:b/>
          <w:bCs/>
          <w:color w:val="17365D"/>
          <w:sz w:val="19"/>
          <w:szCs w:val="19"/>
        </w:rPr>
        <w:t xml:space="preserve">3. Consumer Protection and Digital Commerce</w:t>
      </w:r>
      <w:r>
        <w:rPr>
          <w:rFonts w:ascii="Aptos" w:cs="Aptos" w:eastAsia="Aptos" w:hAnsi="Aptos"/>
          <w:sz w:val="19"/>
          <w:szCs w:val="19"/>
        </w:rPr>
        <w:tab/>
      </w:r>
      <w:r>
        <w:rPr>
          <w:rFonts w:ascii="Aptos" w:cs="Aptos" w:eastAsia="Aptos" w:hAnsi="Aptos"/>
          <w:b/>
          <w:bCs/>
          <w:sz w:val="19"/>
          <w:szCs w:val="19"/>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3.1 Facts</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3.2 Applicable law</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3.3 Our proposed position</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3.4 Risks if wrong</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3.5 Questions for the lawyer</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3.6 Documents and actions needed</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30" w:before="100"/>
        <w:ind w:left="0"/>
      </w:pPr>
      <w:r>
        <w:rPr>
          <w:rFonts w:ascii="Aptos" w:cs="Aptos" w:eastAsia="Aptos" w:hAnsi="Aptos"/>
          <w:b/>
          <w:bCs/>
          <w:color w:val="17365D"/>
          <w:sz w:val="19"/>
          <w:szCs w:val="19"/>
        </w:rPr>
        <w:t xml:space="preserve">4. Tax and VAT</w:t>
      </w:r>
      <w:r>
        <w:rPr>
          <w:rFonts w:ascii="Aptos" w:cs="Aptos" w:eastAsia="Aptos" w:hAnsi="Aptos"/>
          <w:sz w:val="19"/>
          <w:szCs w:val="19"/>
        </w:rPr>
        <w:tab/>
      </w:r>
      <w:r>
        <w:rPr>
          <w:rFonts w:ascii="Aptos" w:cs="Aptos" w:eastAsia="Aptos" w:hAnsi="Aptos"/>
          <w:b/>
          <w:bCs/>
          <w:sz w:val="19"/>
          <w:szCs w:val="19"/>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4.1 Facts</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4.2 Applicable law</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4.3 Our proposed position</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4.4 Risks if wrong</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4.5 Questions for the lawyer and accountant</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4.6 Documents and actions needed</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30" w:before="100"/>
        <w:ind w:left="0"/>
      </w:pPr>
      <w:r>
        <w:rPr>
          <w:rFonts w:ascii="Aptos" w:cs="Aptos" w:eastAsia="Aptos" w:hAnsi="Aptos"/>
          <w:b/>
          <w:bCs/>
          <w:color w:val="17365D"/>
          <w:sz w:val="19"/>
          <w:szCs w:val="19"/>
        </w:rPr>
        <w:t xml:space="preserve">5. Foreign Exchange</w:t>
      </w:r>
      <w:r>
        <w:rPr>
          <w:rFonts w:ascii="Aptos" w:cs="Aptos" w:eastAsia="Aptos" w:hAnsi="Aptos"/>
          <w:sz w:val="19"/>
          <w:szCs w:val="19"/>
        </w:rPr>
        <w:tab/>
      </w:r>
      <w:r>
        <w:rPr>
          <w:rFonts w:ascii="Aptos" w:cs="Aptos" w:eastAsia="Aptos" w:hAnsi="Aptos"/>
          <w:b/>
          <w:bCs/>
          <w:sz w:val="19"/>
          <w:szCs w:val="19"/>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5.1 Facts</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5.2 Applicable law</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5.3 Our proposed position</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5.4 Risks if wrong</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5.5 Questions for the lawyer</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5.6 Documents and actions needed</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30" w:before="100"/>
        <w:ind w:left="0"/>
      </w:pPr>
      <w:r>
        <w:rPr>
          <w:rFonts w:ascii="Aptos" w:cs="Aptos" w:eastAsia="Aptos" w:hAnsi="Aptos"/>
          <w:b/>
          <w:bCs/>
          <w:color w:val="17365D"/>
          <w:sz w:val="19"/>
          <w:szCs w:val="19"/>
        </w:rPr>
        <w:t xml:space="preserve">6. Data Protection — Bangladesh</w:t>
      </w:r>
      <w:r>
        <w:rPr>
          <w:rFonts w:ascii="Aptos" w:cs="Aptos" w:eastAsia="Aptos" w:hAnsi="Aptos"/>
          <w:sz w:val="19"/>
          <w:szCs w:val="19"/>
        </w:rPr>
        <w:tab/>
      </w:r>
      <w:r>
        <w:rPr>
          <w:rFonts w:ascii="Aptos" w:cs="Aptos" w:eastAsia="Aptos" w:hAnsi="Aptos"/>
          <w:b/>
          <w:bCs/>
          <w:sz w:val="19"/>
          <w:szCs w:val="19"/>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6.1 Facts</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6.2 Applicable law</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6.3 Our proposed position</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6.4 Risks if wrong</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6.5 Questions for the lawyer</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6.6 Documents and actions needed</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30" w:before="100"/>
        <w:ind w:left="0"/>
      </w:pPr>
      <w:r>
        <w:rPr>
          <w:rFonts w:ascii="Aptos" w:cs="Aptos" w:eastAsia="Aptos" w:hAnsi="Aptos"/>
          <w:b/>
          <w:bCs/>
          <w:color w:val="17365D"/>
          <w:sz w:val="19"/>
          <w:szCs w:val="19"/>
        </w:rPr>
        <w:t xml:space="preserve">7. International Privacy — EU, UK and USA</w:t>
      </w:r>
      <w:r>
        <w:rPr>
          <w:rFonts w:ascii="Aptos" w:cs="Aptos" w:eastAsia="Aptos" w:hAnsi="Aptos"/>
          <w:sz w:val="19"/>
          <w:szCs w:val="19"/>
        </w:rPr>
        <w:tab/>
      </w:r>
      <w:r>
        <w:rPr>
          <w:rFonts w:ascii="Aptos" w:cs="Aptos" w:eastAsia="Aptos" w:hAnsi="Aptos"/>
          <w:b/>
          <w:bCs/>
          <w:sz w:val="19"/>
          <w:szCs w:val="19"/>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7.1 Facts</w:t>
      </w:r>
      <w:r>
        <w:rPr>
          <w:rFonts w:ascii="Aptos" w:cs="Aptos" w:eastAsia="Aptos" w:hAnsi="Aptos"/>
          <w:sz w:val="17"/>
          <w:szCs w:val="17"/>
        </w:rPr>
        <w:tab/>
      </w:r>
      <w:r>
        <w:rPr>
          <w:rFonts w:ascii="Aptos" w:cs="Aptos" w:eastAsia="Aptos" w:hAnsi="Aptos"/>
          <w:b w:val="false"/>
          <w:bCs w:val="false"/>
          <w:sz w:val="17"/>
          <w:szCs w:val="17"/>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7.2 Applicable law</w:t>
      </w:r>
      <w:r>
        <w:rPr>
          <w:rFonts w:ascii="Aptos" w:cs="Aptos" w:eastAsia="Aptos" w:hAnsi="Aptos"/>
          <w:sz w:val="17"/>
          <w:szCs w:val="17"/>
        </w:rPr>
        <w:tab/>
      </w:r>
      <w:r>
        <w:rPr>
          <w:rFonts w:ascii="Aptos" w:cs="Aptos" w:eastAsia="Aptos" w:hAnsi="Aptos"/>
          <w:b w:val="false"/>
          <w:bCs w:val="false"/>
          <w:sz w:val="17"/>
          <w:szCs w:val="17"/>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7.3 Our proposed position</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7.4 Risks if wrong</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7.5 Questions for the international law firm</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7.6 Documents and actions needed</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30" w:before="100"/>
        <w:ind w:left="0"/>
      </w:pPr>
      <w:r>
        <w:rPr>
          <w:rFonts w:ascii="Aptos" w:cs="Aptos" w:eastAsia="Aptos" w:hAnsi="Aptos"/>
          <w:b/>
          <w:bCs/>
          <w:color w:val="17365D"/>
          <w:sz w:val="19"/>
          <w:szCs w:val="19"/>
        </w:rPr>
        <w:t xml:space="preserve">8. Children</w:t>
      </w:r>
      <w:r>
        <w:rPr>
          <w:rFonts w:ascii="Aptos" w:cs="Aptos" w:eastAsia="Aptos" w:hAnsi="Aptos"/>
          <w:sz w:val="19"/>
          <w:szCs w:val="19"/>
        </w:rPr>
        <w:tab/>
      </w:r>
      <w:r>
        <w:rPr>
          <w:rFonts w:ascii="Aptos" w:cs="Aptos" w:eastAsia="Aptos" w:hAnsi="Aptos"/>
          <w:b/>
          <w:bCs/>
          <w:sz w:val="19"/>
          <w:szCs w:val="19"/>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8.1 Facts</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8.2 Applicable law</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8.3 Our proposed position</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8.4 Risks if wrong</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8.5 Questions for the lawyer</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8.6 Documents and actions needed</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30" w:before="100"/>
        <w:ind w:left="0"/>
      </w:pPr>
      <w:r>
        <w:rPr>
          <w:rFonts w:ascii="Aptos" w:cs="Aptos" w:eastAsia="Aptos" w:hAnsi="Aptos"/>
          <w:b/>
          <w:bCs/>
          <w:color w:val="17365D"/>
          <w:sz w:val="19"/>
          <w:szCs w:val="19"/>
        </w:rPr>
        <w:t xml:space="preserve">9. AI-Generated Content, Likeness and Transparency</w:t>
      </w:r>
      <w:r>
        <w:rPr>
          <w:rFonts w:ascii="Aptos" w:cs="Aptos" w:eastAsia="Aptos" w:hAnsi="Aptos"/>
          <w:sz w:val="19"/>
          <w:szCs w:val="19"/>
        </w:rPr>
        <w:tab/>
      </w:r>
      <w:r>
        <w:rPr>
          <w:rFonts w:ascii="Aptos" w:cs="Aptos" w:eastAsia="Aptos" w:hAnsi="Aptos"/>
          <w:b/>
          <w:bCs/>
          <w:sz w:val="19"/>
          <w:szCs w:val="19"/>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9.1 Facts</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9.2 Applicable law</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9.3 Our proposed position</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9.4 Risks if wrong</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9.5 Questions for the lawyer</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9.6 Documents and actions needed</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30" w:before="100"/>
        <w:ind w:left="0"/>
      </w:pPr>
      <w:r>
        <w:rPr>
          <w:rFonts w:ascii="Aptos" w:cs="Aptos" w:eastAsia="Aptos" w:hAnsi="Aptos"/>
          <w:b/>
          <w:bCs/>
          <w:color w:val="17365D"/>
          <w:sz w:val="19"/>
          <w:szCs w:val="19"/>
        </w:rPr>
        <w:t xml:space="preserve">10. Copyright, Licences and Trademarks</w:t>
      </w:r>
      <w:r>
        <w:rPr>
          <w:rFonts w:ascii="Aptos" w:cs="Aptos" w:eastAsia="Aptos" w:hAnsi="Aptos"/>
          <w:sz w:val="19"/>
          <w:szCs w:val="19"/>
        </w:rPr>
        <w:tab/>
      </w:r>
      <w:r>
        <w:rPr>
          <w:rFonts w:ascii="Aptos" w:cs="Aptos" w:eastAsia="Aptos" w:hAnsi="Aptos"/>
          <w:b/>
          <w:bCs/>
          <w:sz w:val="19"/>
          <w:szCs w:val="19"/>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10.1 Facts</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10.2 Applicable law</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10.3 Our proposed position</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10.4 Risks if wrong</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10.5 Questions for the lawyer</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10.6 Documents and actions needed</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30" w:before="100"/>
        <w:ind w:left="0"/>
      </w:pPr>
      <w:r>
        <w:rPr>
          <w:rFonts w:ascii="Aptos" w:cs="Aptos" w:eastAsia="Aptos" w:hAnsi="Aptos"/>
          <w:b/>
          <w:bCs/>
          <w:color w:val="17365D"/>
          <w:sz w:val="19"/>
          <w:szCs w:val="19"/>
        </w:rPr>
        <w:t xml:space="preserve">11. Platform and Messaging Rules</w:t>
      </w:r>
      <w:r>
        <w:rPr>
          <w:rFonts w:ascii="Aptos" w:cs="Aptos" w:eastAsia="Aptos" w:hAnsi="Aptos"/>
          <w:sz w:val="19"/>
          <w:szCs w:val="19"/>
        </w:rPr>
        <w:tab/>
      </w:r>
      <w:r>
        <w:rPr>
          <w:rFonts w:ascii="Aptos" w:cs="Aptos" w:eastAsia="Aptos" w:hAnsi="Aptos"/>
          <w:b/>
          <w:bCs/>
          <w:sz w:val="19"/>
          <w:szCs w:val="19"/>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11.1 Facts</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11.2 Applicable rules</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11.3 Our proposed position</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11.4 Risks if wrong</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11.5 Questions for the lawyer</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11.6 Documents and actions needed</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30" w:before="100"/>
        <w:ind w:left="0"/>
      </w:pPr>
      <w:r>
        <w:rPr>
          <w:rFonts w:ascii="Aptos" w:cs="Aptos" w:eastAsia="Aptos" w:hAnsi="Aptos"/>
          <w:b/>
          <w:bCs/>
          <w:color w:val="17365D"/>
          <w:sz w:val="19"/>
          <w:szCs w:val="19"/>
        </w:rPr>
        <w:t xml:space="preserve">12. Islamic Content Verification and Religious Sensitivity</w:t>
      </w:r>
      <w:r>
        <w:rPr>
          <w:rFonts w:ascii="Aptos" w:cs="Aptos" w:eastAsia="Aptos" w:hAnsi="Aptos"/>
          <w:sz w:val="19"/>
          <w:szCs w:val="19"/>
        </w:rPr>
        <w:tab/>
      </w:r>
      <w:r>
        <w:rPr>
          <w:rFonts w:ascii="Aptos" w:cs="Aptos" w:eastAsia="Aptos" w:hAnsi="Aptos"/>
          <w:b/>
          <w:bCs/>
          <w:sz w:val="19"/>
          <w:szCs w:val="19"/>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12.1 Facts</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12.2 Applicable law</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12.3 Our proposed position</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12.4 Risks if wrong</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12.5 Questions for the lawyer</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12.6 Documents and actions needed</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30" w:before="100"/>
        <w:ind w:left="0"/>
      </w:pPr>
      <w:r>
        <w:rPr>
          <w:rFonts w:ascii="Aptos" w:cs="Aptos" w:eastAsia="Aptos" w:hAnsi="Aptos"/>
          <w:b/>
          <w:bCs/>
          <w:color w:val="17365D"/>
          <w:sz w:val="19"/>
          <w:szCs w:val="19"/>
        </w:rPr>
        <w:t xml:space="preserve">13. Employment, Contractors and Performers</w:t>
      </w:r>
      <w:r>
        <w:rPr>
          <w:rFonts w:ascii="Aptos" w:cs="Aptos" w:eastAsia="Aptos" w:hAnsi="Aptos"/>
          <w:sz w:val="19"/>
          <w:szCs w:val="19"/>
        </w:rPr>
        <w:tab/>
      </w:r>
      <w:r>
        <w:rPr>
          <w:rFonts w:ascii="Aptos" w:cs="Aptos" w:eastAsia="Aptos" w:hAnsi="Aptos"/>
          <w:b/>
          <w:bCs/>
          <w:sz w:val="19"/>
          <w:szCs w:val="19"/>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13.1 Facts</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13.2 Applicable law</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13.3 Our proposed position</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13.4 Risks if wrong</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13.5 Questions for the lawyer</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13.6 Documents and actions needed</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30" w:before="100"/>
        <w:ind w:left="0"/>
      </w:pPr>
      <w:r>
        <w:rPr>
          <w:rFonts w:ascii="Aptos" w:cs="Aptos" w:eastAsia="Aptos" w:hAnsi="Aptos"/>
          <w:b/>
          <w:bCs/>
          <w:color w:val="17365D"/>
          <w:sz w:val="19"/>
          <w:szCs w:val="19"/>
        </w:rPr>
        <w:t xml:space="preserve">14. Takedowns, DMCA, Repeat Infringers and Law-Enforcement Requests</w:t>
      </w:r>
      <w:r>
        <w:rPr>
          <w:rFonts w:ascii="Aptos" w:cs="Aptos" w:eastAsia="Aptos" w:hAnsi="Aptos"/>
          <w:sz w:val="19"/>
          <w:szCs w:val="19"/>
        </w:rPr>
        <w:tab/>
      </w:r>
      <w:r>
        <w:rPr>
          <w:rFonts w:ascii="Aptos" w:cs="Aptos" w:eastAsia="Aptos" w:hAnsi="Aptos"/>
          <w:b/>
          <w:bCs/>
          <w:sz w:val="19"/>
          <w:szCs w:val="19"/>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14.1 Facts</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14.2 Applicable law</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14.3 Our proposed position</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14.4 Risks if wrong</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14.5 Questions for the lawyer</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14.6 Documents and actions needed</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30" w:before="100"/>
        <w:ind w:left="0"/>
      </w:pPr>
      <w:r>
        <w:rPr>
          <w:rFonts w:ascii="Aptos" w:cs="Aptos" w:eastAsia="Aptos" w:hAnsi="Aptos"/>
          <w:b/>
          <w:bCs/>
          <w:color w:val="17365D"/>
          <w:sz w:val="19"/>
          <w:szCs w:val="19"/>
        </w:rPr>
        <w:t xml:space="preserve">15. Legal Go-Live Checklist</w:t>
      </w:r>
      <w:r>
        <w:rPr>
          <w:rFonts w:ascii="Aptos" w:cs="Aptos" w:eastAsia="Aptos" w:hAnsi="Aptos"/>
          <w:sz w:val="19"/>
          <w:szCs w:val="19"/>
        </w:rPr>
        <w:tab/>
      </w:r>
      <w:r>
        <w:rPr>
          <w:rFonts w:ascii="Aptos" w:cs="Aptos" w:eastAsia="Aptos" w:hAnsi="Aptos"/>
          <w:b/>
          <w:bCs/>
          <w:sz w:val="19"/>
          <w:szCs w:val="19"/>
        </w:rPr>
        <w:t xml:space="preserve">37</w:t>
      </w:r>
    </w:p>
    <w:p>
      <w:pPr>
        <w:pStyle w:val="Heading1"/>
        <w:pageBreakBefore/>
      </w:pPr>
      <w:r>
        <w:rPr>
          <w:rFonts w:ascii="Aptos" w:cs="Aptos" w:eastAsia="Aptos" w:hAnsi="Aptos"/>
        </w:rPr>
        <w:t xml:space="preserve">1. Company Formation, Objects Clause and Entity Structure</w:t>
      </w:r>
    </w:p>
    <w:p>
      <w:pPr>
        <w:spacing w:after="140" w:before="0" w:line="288"/>
      </w:pPr>
      <w:r>
        <w:rPr>
          <w:rFonts w:ascii="Aptos" w:cs="Aptos" w:eastAsia="Aptos" w:hAnsi="Aptos"/>
        </w:rPr>
        <w:t xml:space="preserve">Covers incorporation, the objects clause, Vitlous Technology's aamarPay account and the USA LLC question.</w:t>
      </w:r>
    </w:p>
    <w:p>
      <w:pPr>
        <w:pStyle w:val="Heading2"/>
      </w:pPr>
      <w:r>
        <w:rPr>
          <w:rFonts w:ascii="Aptos" w:cs="Aptos" w:eastAsia="Aptos" w:hAnsi="Aptos"/>
        </w:rPr>
        <w:t xml:space="preserve">1.1 Facts</w:t>
      </w:r>
    </w:p>
    <w:p>
      <w:pPr>
        <w:pStyle w:val="ListParagraph"/>
        <w:numPr>
          <w:ilvl w:val="0"/>
          <w:numId w:val="3"/>
        </w:numPr>
        <w:spacing w:after="60" w:before="0"/>
      </w:pPr>
      <w:r>
        <w:rPr>
          <w:rFonts w:ascii="Aptos" w:cs="Aptos" w:eastAsia="Aptos" w:hAnsi="Aptos"/>
        </w:rPr>
        <w:t xml:space="preserve">RemonLogic Private Limited (moving to Vitlous Technology was considered and reversed on 30 October 2026) files with the RJSC on Sunday 1 November 2026; shareholders, directors, capital and address [to insert]. It will own NexaTute (with PlayBoom), Remon Motion Studio and NexaLogicDev and run one shared platform, wallet and ledger.</w:t>
      </w:r>
    </w:p>
    <w:p>
      <w:pPr>
        <w:pStyle w:val="ListParagraph"/>
        <w:numPr>
          <w:ilvl w:val="0"/>
          <w:numId w:val="3"/>
        </w:numPr>
        <w:spacing w:after="60" w:before="0"/>
      </w:pPr>
      <w:r>
        <w:rPr>
          <w:rFonts w:ascii="Aptos" w:cs="Aptos" w:eastAsia="Aptos" w:hAnsi="Aptos"/>
        </w:rPr>
        <w:t xml:space="preserve">Planned activities include tutoring for all ages, services to schools, teacher and creator marketplaces (20% commission), reseller and affiliate programmes, Sponsor-a-Learner and a Sign Language Fund, adult recruitment tests and job pathways, an IVR tutor billed through telcos, AI video, voice, dubbing, digital twins and avatar streaming, stock clips, a white-label portal and API, an AI cloud IDE, marketing automation and data processing.</w:t>
      </w:r>
    </w:p>
    <w:p>
      <w:pPr>
        <w:pStyle w:val="ListParagraph"/>
        <w:numPr>
          <w:ilvl w:val="0"/>
          <w:numId w:val="3"/>
        </w:numPr>
        <w:spacing w:after="60" w:before="0"/>
      </w:pPr>
      <w:r>
        <w:rPr>
          <w:rFonts w:ascii="Aptos" w:cs="Aptos" w:eastAsia="Aptos" w:hAnsi="Aptos"/>
        </w:rPr>
        <w:t xml:space="preserve">Code, content and logos (made 31 October 2026) are being created before incorporation by the owner and others; domains are in Cloudflare, registrant [to insert]. The website shows paid prices with "free during the Free Beta" and no trade licence (none exists yet).</w:t>
      </w:r>
    </w:p>
    <w:p>
      <w:pPr>
        <w:pStyle w:val="ListParagraph"/>
        <w:numPr>
          <w:ilvl w:val="0"/>
          <w:numId w:val="3"/>
        </w:numPr>
        <w:spacing w:after="60" w:before="0"/>
      </w:pPr>
      <w:r>
        <w:rPr>
          <w:rFonts w:ascii="Aptos" w:cs="Aptos" w:eastAsia="Aptos" w:hAnsi="Aptos"/>
        </w:rPr>
        <w:t xml:space="preserve">aamarPay merchant account (bKash, Nagad, cards, international cards) is in the name of Vitlous Technology, the owner's other company; the owner plans to use aamarPay for international cards until Paddle approves.</w:t>
      </w:r>
    </w:p>
    <w:p>
      <w:pPr>
        <w:pStyle w:val="ListParagraph"/>
        <w:numPr>
          <w:ilvl w:val="0"/>
          <w:numId w:val="3"/>
        </w:numPr>
        <w:spacing w:after="60" w:before="0"/>
      </w:pPr>
      <w:r>
        <w:rPr>
          <w:rFonts w:ascii="Aptos" w:cs="Aptos" w:eastAsia="Aptos" w:hAnsi="Aptos"/>
        </w:rPr>
        <w:t xml:space="preserve">The Master Blueprint (0.2) planned a founder-owned Delaware LLC to sell abroad through Paddle and hold the NCMEC registration, "funded and paid from the USA". On 30 October 2026 the owner decided to ask Paddle first whether it accepts a Bangladeshi company; the LLC is not formed as far as the sources show.</w:t>
      </w:r>
    </w:p>
    <w:p>
      <w:pPr>
        <w:pStyle w:val="Heading2"/>
      </w:pPr>
      <w:r>
        <w:rPr>
          <w:rFonts w:ascii="Aptos" w:cs="Aptos" w:eastAsia="Aptos" w:hAnsi="Aptos"/>
        </w:rPr>
        <w:t xml:space="preserve">1.2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3"/>
        <w:gridCol w:w="4161"/>
        <w:gridCol w:w="2432"/>
      </w:tblGrid>
      <w:tr>
        <w:trPr>
          <w:cantSplit/>
          <w:tblHeader/>
        </w:trPr>
        <w:tc>
          <w:tcPr>
            <w:tcW w:type="dxa" w:w="27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 or rule</w:t>
            </w:r>
          </w:p>
        </w:tc>
        <w:tc>
          <w:tcPr>
            <w:tcW w:type="dxa" w:w="41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243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27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Companies Act, 1994, ss.12–13</w:t>
            </w:r>
          </w:p>
        </w:tc>
        <w:tc>
          <w:tcPr>
            <w:tcW w:type="dxa" w:w="4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Objects bind the company (ultra vires). Changing them needs a special resolution and High Court Division confirmation; for example Plastic Touch Industries Ltd, Company Matter 1544 of 2025, confirmed 14 October 2025 on condition of a Tk 50,000 donation, then RJSC filing within 90 days</w:t>
            </w:r>
          </w:p>
        </w:tc>
        <w:tc>
          <w:tcPr>
            <w:tcW w:type="dxa" w:w="24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(court step); medium (RJSC practice)</w:t>
            </w:r>
          </w:p>
        </w:tc>
      </w:tr>
      <w:tr>
        <w:trPr>
          <w:cantSplit/>
        </w:trPr>
        <w:tc>
          <w:tcPr>
            <w:tcW w:type="dxa" w:w="27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and Settlement Systems Act, 2024; DCOG 2021</w:t>
            </w:r>
          </w:p>
        </w:tc>
        <w:tc>
          <w:tcPr>
            <w:tcW w:type="dxa" w:w="4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Approval needed to run payment services (up to 5 years and/or Tk 50 lakh); Bangladesh Bank has warned against 22 unlicensed aggregators. DCOG: seller displays its own trade licence, VAT number and TIN</w:t>
            </w:r>
          </w:p>
        </w:tc>
        <w:tc>
          <w:tcPr>
            <w:tcW w:type="dxa" w:w="24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r>
        <w:trPr>
          <w:cantSplit/>
        </w:trPr>
        <w:tc>
          <w:tcPr>
            <w:tcW w:type="dxa" w:w="27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Foreign Exchange Regulation Act, 1947</w:t>
            </w:r>
          </w:p>
        </w:tc>
        <w:tc>
          <w:tcPr>
            <w:tcW w:type="dxa" w:w="4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Export proceeds must be repatriated (chapter 5). Residents owning a foreign company: not researched</w:t>
            </w:r>
          </w:p>
        </w:tc>
        <w:tc>
          <w:tcPr>
            <w:tcW w:type="dxa" w:w="24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27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 DMCA; NCMEC; trade licence</w:t>
            </w:r>
          </w:p>
        </w:tc>
        <w:tc>
          <w:tcPr>
            <w:tcW w:type="dxa" w:w="4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not on Paddle's excluded list (AI-product acceptance unconfirmed); foreign companies register DMCA agents in practice; the rest not researched</w:t>
            </w:r>
          </w:p>
        </w:tc>
        <w:tc>
          <w:tcPr>
            <w:tcW w:type="dxa" w:w="24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 / [lawyer to confirm]</w:t>
            </w:r>
          </w:p>
        </w:tc>
      </w:tr>
    </w:tbl>
    <w:p>
      <w:pPr>
        <w:spacing w:after="120" w:before="0"/>
      </w:pPr>
    </w:p>
    <w:p>
      <w:pPr>
        <w:pStyle w:val="Heading2"/>
      </w:pPr>
      <w:r>
        <w:rPr>
          <w:rFonts w:ascii="Aptos" w:cs="Aptos" w:eastAsia="Aptos" w:hAnsi="Aptos"/>
        </w:rPr>
        <w:t xml:space="preserve">1.3 Our proposed position</w:t>
      </w:r>
    </w:p>
    <w:p>
      <w:pPr>
        <w:pStyle w:val="ListParagraph"/>
        <w:numPr>
          <w:ilvl w:val="0"/>
          <w:numId w:val="4"/>
        </w:numPr>
        <w:spacing w:after="60" w:before="0"/>
      </w:pPr>
      <w:r>
        <w:rPr>
          <w:rFonts w:ascii="Aptos" w:cs="Aptos" w:eastAsia="Aptos" w:hAnsi="Aptos"/>
        </w:rPr>
        <w:t xml:space="preserve">Objects clause: long and specific now, because later changes need the High Court. The draft memorandum in this pack covers: education for all ages and institutions; software, SaaS, AI, cloud IDE, hosting and APIs; AI and human media production, voice and likeness services with consent, stock media; marketing and CRM; marketplaces for a commission, reseller and affiliate programmes; data processing and content review (including religious content); export of IT-enabled services and import of software and cloud services; IP licensing; payments-related activity, stored value, IVR, recruitment and charitable funds only "with any approval or licence required by law"; subsidiaries at home and abroad subject to Bangladesh Bank approval; incidental acts.</w:t>
      </w:r>
    </w:p>
    <w:p>
      <w:pPr>
        <w:pStyle w:val="ListParagraph"/>
        <w:numPr>
          <w:ilvl w:val="0"/>
          <w:numId w:val="4"/>
        </w:numPr>
        <w:spacing w:after="60" w:before="0"/>
      </w:pPr>
      <w:r>
        <w:rPr>
          <w:rFonts w:ascii="Aptos" w:cs="Aptos" w:eastAsia="Aptos" w:hAnsi="Aptos"/>
        </w:rPr>
        <w:t xml:space="preserve">Before incorporation: nothing is signed or applied for in the company's name. Personal data is not collected for the NexaTute Free Beta (20 November 2026) until the company exists, unless the lawyer confirms who the controller is in the gap. After incorporation, the owner and every contributor assign pre-incorporation work (code, logos, content, domains) to the company in writing.</w:t>
      </w:r>
    </w:p>
    <w:p>
      <w:pPr>
        <w:pStyle w:val="ListParagraph"/>
        <w:numPr>
          <w:ilvl w:val="0"/>
          <w:numId w:val="4"/>
        </w:numPr>
        <w:spacing w:after="60" w:before="0"/>
      </w:pPr>
      <w:r>
        <w:rPr>
          <w:rFonts w:ascii="Aptos" w:cs="Aptos" w:eastAsia="Aptos" w:hAnsi="Aptos"/>
        </w:rPr>
        <w:t xml:space="preserve">Vitlous account: no RemonLogic sale is collected through it. Pilot test payments use the sandbox or fully refunded test amounts (default, editable). RemonLogic applies for its own merchant account as soon as it has the certificate, trade licence, TIN, BIN and bank account; if not ready, the paid launch moves. A collection-agent fallback only with written approval from the lawyer, accountant and aamarPay.</w:t>
      </w:r>
    </w:p>
    <w:p>
      <w:pPr>
        <w:pStyle w:val="ListParagraph"/>
        <w:numPr>
          <w:ilvl w:val="0"/>
          <w:numId w:val="4"/>
        </w:numPr>
        <w:spacing w:after="60" w:before="0"/>
      </w:pPr>
      <w:r>
        <w:rPr>
          <w:rFonts w:ascii="Aptos" w:cs="Aptos" w:eastAsia="Aptos" w:hAnsi="Aptos"/>
        </w:rPr>
        <w:t xml:space="preserve">USA LLC: not formed now. Apply to Paddle as RemonLogic Private Limited, disclosing the AI voice and avatar features; register the DMCA agent in the company's name; ask NCMEC about non-US registration (else the paid IWF list). An LLC only if Paddle or NCMEC refuses, after the lawyer's FX opinion.</w:t>
      </w:r>
    </w:p>
    <w:p>
      <w:pPr>
        <w:pStyle w:val="Heading2"/>
      </w:pPr>
      <w:r>
        <w:rPr>
          <w:rFonts w:ascii="Aptos" w:cs="Aptos" w:eastAsia="Aptos" w:hAnsi="Aptos"/>
        </w:rPr>
        <w:t xml:space="preserve">1.4 Risks if wrong</w:t>
      </w:r>
    </w:p>
    <w:p>
      <w:pPr>
        <w:pStyle w:val="ListParagraph"/>
        <w:numPr>
          <w:ilvl w:val="0"/>
          <w:numId w:val="3"/>
        </w:numPr>
        <w:spacing w:after="60" w:before="0"/>
      </w:pPr>
      <w:r>
        <w:rPr>
          <w:rFonts w:ascii="Aptos" w:cs="Aptos" w:eastAsia="Aptos" w:hAnsi="Aptos"/>
        </w:rPr>
        <w:t xml:space="preserve">Narrow objects: ultra vires acts and a High Court petition to fix. Pre-incorporation data and contracts: unclear, possibly personal liability; consents collected again.</w:t>
      </w:r>
    </w:p>
    <w:p>
      <w:pPr>
        <w:pStyle w:val="ListParagraph"/>
        <w:numPr>
          <w:ilvl w:val="0"/>
          <w:numId w:val="3"/>
        </w:numPr>
        <w:spacing w:after="60" w:before="0"/>
      </w:pPr>
      <w:r>
        <w:rPr>
          <w:rFonts w:ascii="Aptos" w:cs="Aptos" w:eastAsia="Aptos" w:hAnsi="Aptos"/>
        </w:rPr>
        <w:t xml:space="preserve">Vitlous account: possible unlicensed aggregation (up to 5 years and/or Tk 50 lakh), account freeze, revenue and VAT in the wrong company. USA LLC: possible FX breach and transfer-pricing exposure.</w:t>
      </w:r>
    </w:p>
    <w:p>
      <w:pPr>
        <w:pStyle w:val="Heading2"/>
      </w:pPr>
      <w:r>
        <w:rPr>
          <w:rFonts w:ascii="Aptos" w:cs="Aptos" w:eastAsia="Aptos" w:hAnsi="Aptos"/>
        </w:rPr>
        <w:t xml:space="preserve">1.5 Questions for the lawyer</w:t>
      </w:r>
    </w:p>
    <w:p>
      <w:pPr>
        <w:pStyle w:val="ListParagraph"/>
        <w:numPr>
          <w:ilvl w:val="0"/>
          <w:numId w:val="5"/>
        </w:numPr>
        <w:spacing w:after="60" w:before="0"/>
      </w:pPr>
      <w:r>
        <w:rPr>
          <w:rFonts w:ascii="Aptos" w:cs="Aptos" w:eastAsia="Aptos" w:hAnsi="Aptos"/>
        </w:rPr>
        <w:t xml:space="preserve">Is the objects clause complete and acceptable to the RJSC in this length? Should stored value be mentioned at all, given chapter 2?</w:t>
      </w:r>
    </w:p>
    <w:p>
      <w:pPr>
        <w:pStyle w:val="ListParagraph"/>
        <w:numPr>
          <w:ilvl w:val="0"/>
          <w:numId w:val="5"/>
        </w:numPr>
        <w:spacing w:after="60" w:before="0"/>
      </w:pPr>
      <w:r>
        <w:rPr>
          <w:rFonts w:ascii="Aptos" w:cs="Aptos" w:eastAsia="Aptos" w:hAnsi="Aptos"/>
        </w:rPr>
        <w:t xml:space="preserve">Do recruitment tests, job pathways, IVR billing and the charitable funds need licences? Which trade-licence category applies?</w:t>
      </w:r>
    </w:p>
    <w:p>
      <w:pPr>
        <w:pStyle w:val="ListParagraph"/>
        <w:numPr>
          <w:ilvl w:val="0"/>
          <w:numId w:val="5"/>
        </w:numPr>
        <w:spacing w:after="60" w:before="0"/>
      </w:pPr>
      <w:r>
        <w:rPr>
          <w:rFonts w:ascii="Aptos" w:cs="Aptos" w:eastAsia="Aptos" w:hAnsi="Aptos"/>
        </w:rPr>
        <w:t xml:space="preserve">What may the websites say before incorporation, and who is the data controller if the NexaTute Free Beta starts first? Should it wait?</w:t>
      </w:r>
    </w:p>
    <w:p>
      <w:pPr>
        <w:pStyle w:val="ListParagraph"/>
        <w:numPr>
          <w:ilvl w:val="0"/>
          <w:numId w:val="5"/>
        </w:numPr>
        <w:spacing w:after="60" w:before="0"/>
      </w:pPr>
      <w:r>
        <w:rPr>
          <w:rFonts w:ascii="Aptos" w:cs="Aptos" w:eastAsia="Aptos" w:hAnsi="Aptos"/>
        </w:rPr>
        <w:t xml:space="preserve">How should pre-incorporation work and domains be transferred to the company?</w:t>
      </w:r>
    </w:p>
    <w:p>
      <w:pPr>
        <w:pStyle w:val="ListParagraph"/>
        <w:numPr>
          <w:ilvl w:val="0"/>
          <w:numId w:val="5"/>
        </w:numPr>
        <w:spacing w:after="60" w:before="0"/>
      </w:pPr>
      <w:r>
        <w:rPr>
          <w:rFonts w:ascii="Aptos" w:cs="Aptos" w:eastAsia="Aptos" w:hAnsi="Aptos"/>
        </w:rPr>
        <w:t xml:space="preserve">May RemonLogic's sales be collected through Vitlous Technology's aamarPay account, and on what written terms?</w:t>
      </w:r>
    </w:p>
    <w:p>
      <w:pPr>
        <w:pStyle w:val="ListParagraph"/>
        <w:numPr>
          <w:ilvl w:val="0"/>
          <w:numId w:val="5"/>
        </w:numPr>
        <w:spacing w:after="60" w:before="0"/>
      </w:pPr>
      <w:r>
        <w:rPr>
          <w:rFonts w:ascii="Aptos" w:cs="Aptos" w:eastAsia="Aptos" w:hAnsi="Aptos"/>
        </w:rPr>
        <w:t xml:space="preserve">Do the founders need Bangladesh Bank approval to own a USA LLC, and may it keep receipts abroad?</w:t>
      </w:r>
    </w:p>
    <w:p>
      <w:pPr>
        <w:pStyle w:val="Heading2"/>
      </w:pPr>
      <w:r>
        <w:rPr>
          <w:rFonts w:ascii="Aptos" w:cs="Aptos" w:eastAsia="Aptos" w:hAnsi="Aptos"/>
        </w:rPr>
        <w:t xml:space="preserve">1.6 Documents and actions needed</w:t>
      </w:r>
    </w:p>
    <w:p>
      <w:pPr>
        <w:pStyle w:val="ListParagraph"/>
        <w:numPr>
          <w:ilvl w:val="0"/>
          <w:numId w:val="3"/>
        </w:numPr>
        <w:spacing w:after="60" w:before="0"/>
      </w:pPr>
      <w:r>
        <w:rPr>
          <w:rFonts w:ascii="Aptos" w:cs="Aptos" w:eastAsia="Aptos" w:hAnsi="Aptos"/>
        </w:rPr>
        <w:t xml:space="preserve">Memorandum and articles (separate draft); shareholders' agreement; IP assignments and domain transfer.</w:t>
      </w:r>
    </w:p>
    <w:p>
      <w:pPr>
        <w:pStyle w:val="ListParagraph"/>
        <w:numPr>
          <w:ilvl w:val="0"/>
          <w:numId w:val="3"/>
        </w:numPr>
        <w:spacing w:after="60" w:before="0"/>
      </w:pPr>
      <w:r>
        <w:rPr>
          <w:rFonts w:ascii="Aptos" w:cs="Aptos" w:eastAsia="Aptos" w:hAnsi="Aptos"/>
        </w:rPr>
        <w:t xml:space="preserve">Trade licence, TIN, BIN, bank account; own aamarPay and Paddle applications.</w:t>
      </w:r>
    </w:p>
    <w:p>
      <w:pPr>
        <w:pStyle w:val="Heading1"/>
        <w:pageBreakBefore/>
      </w:pPr>
      <w:r>
        <w:rPr>
          <w:rFonts w:ascii="Aptos" w:cs="Aptos" w:eastAsia="Aptos" w:hAnsi="Aptos"/>
        </w:rPr>
        <w:t xml:space="preserve">2. Prepaid Wallet and Payment-Services Law</w:t>
      </w:r>
    </w:p>
    <w:p>
      <w:pPr>
        <w:spacing w:after="140" w:before="0" w:line="288"/>
      </w:pPr>
      <w:r>
        <w:rPr>
          <w:rFonts w:ascii="Aptos" w:cs="Aptos" w:eastAsia="Aptos" w:hAnsi="Aptos"/>
        </w:rPr>
        <w:t xml:space="preserve">Covers the shared Nexa Wallet, credits, gift cards and reseller packs in both products, measured against the Payment and Settlement Systems Act 2024 and the Bangladesh Bank prepaid-instrument guidelines of 2024. Ends with four redesign options for the lawyer to choose from.</w:t>
      </w:r>
    </w:p>
    <w:p>
      <w:pPr>
        <w:pStyle w:val="Heading2"/>
      </w:pPr>
      <w:r>
        <w:rPr>
          <w:rFonts w:ascii="Aptos" w:cs="Aptos" w:eastAsia="Aptos" w:hAnsi="Aptos"/>
        </w:rPr>
        <w:t xml:space="preserve">2.1 Facts</w:t>
      </w:r>
    </w:p>
    <w:p>
      <w:pPr>
        <w:pStyle w:val="ListParagraph"/>
        <w:numPr>
          <w:ilvl w:val="0"/>
          <w:numId w:val="3"/>
        </w:numPr>
        <w:spacing w:after="60" w:before="0"/>
      </w:pPr>
      <w:r>
        <w:rPr>
          <w:rFonts w:ascii="Aptos" w:cs="Aptos" w:eastAsia="Aptos" w:hAnsi="Aptos"/>
        </w:rPr>
        <w:t xml:space="preserve">NexaTute is sold as monthly plans; the wallet is for extra 1:1 minutes, add-ons, extra images, Group Study, the phone tutor and counsellor calls. Top-ups: ৳200 (15 days), ৳700 (45 days), ৳1,200 (75 days); balances carry forward on the next deposit.</w:t>
      </w:r>
    </w:p>
    <w:p>
      <w:pPr>
        <w:pStyle w:val="ListParagraph"/>
        <w:numPr>
          <w:ilvl w:val="0"/>
          <w:numId w:val="3"/>
        </w:numPr>
        <w:spacing w:after="60" w:before="0"/>
      </w:pPr>
      <w:r>
        <w:rPr>
          <w:rFonts w:ascii="Aptos" w:cs="Aptos" w:eastAsia="Aptos" w:hAnsi="Aptos"/>
        </w:rPr>
        <w:t xml:space="preserve">NexaTute balances also come from gift top-ups by others, referral and reward minutes, outage credits and Sponsor-a-Learner purchases; siblings share one guardian wallet. Unused wallet balance is refundable within 30 days (11.6). The Shikkha Salami gift card is valid 12 months, not cash-refundable and "can be given to someone else".</w:t>
      </w:r>
    </w:p>
    <w:p>
      <w:pPr>
        <w:pStyle w:val="ListParagraph"/>
        <w:numPr>
          <w:ilvl w:val="0"/>
          <w:numId w:val="3"/>
        </w:numPr>
        <w:spacing w:after="60" w:before="0"/>
      </w:pPr>
      <w:r>
        <w:rPr>
          <w:rFonts w:ascii="Aptos" w:cs="Aptos" w:eastAsia="Aptos" w:hAnsi="Aptos"/>
        </w:rPr>
        <w:t xml:space="preserve">Motion Studio takes the video charge from the wallet at "approve &amp; pay" on the storyboard (bKash top-up if short); automatic refunds go back to the wallet. Purchased credits are valid 30 days. Minute packs and pay-per-video are approved. Reseller packs: ৳10,000 (180 days) and ৳30,000 (360 days) at 15% and 22% discount.</w:t>
      </w:r>
    </w:p>
    <w:p>
      <w:pPr>
        <w:pStyle w:val="ListParagraph"/>
        <w:numPr>
          <w:ilvl w:val="0"/>
          <w:numId w:val="3"/>
        </w:numPr>
        <w:spacing w:after="60" w:before="0"/>
      </w:pPr>
      <w:r>
        <w:rPr>
          <w:rFonts w:ascii="Aptos" w:cs="Aptos" w:eastAsia="Aptos" w:hAnsi="Aptos"/>
        </w:rPr>
        <w:t xml:space="preserve">One wallet across products; NexaLogicDev credits (৳5 = 1 credit) buy Motion Studio videos; international top-ups in USD through Paddle.</w:t>
      </w:r>
    </w:p>
    <w:p>
      <w:pPr>
        <w:pStyle w:val="ListParagraph"/>
        <w:numPr>
          <w:ilvl w:val="0"/>
          <w:numId w:val="3"/>
        </w:numPr>
        <w:spacing w:after="60" w:before="0"/>
      </w:pPr>
      <w:r>
        <w:rPr>
          <w:rFonts w:ascii="Aptos" w:cs="Aptos" w:eastAsia="Aptos" w:hAnsi="Aptos"/>
        </w:rPr>
        <w:t xml:space="preserve">Top-ups are booked as a company liability until spent. Everywhere the wallet is described as "non-cash-out, non-transferable prepaid credit (lawyer check)".</w:t>
      </w:r>
    </w:p>
    <w:p>
      <w:pPr>
        <w:pStyle w:val="Heading2"/>
      </w:pPr>
      <w:r>
        <w:rPr>
          <w:rFonts w:ascii="Aptos" w:cs="Aptos" w:eastAsia="Aptos" w:hAnsi="Aptos"/>
        </w:rPr>
        <w:t xml:space="preserve">2.2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73"/>
        <w:gridCol w:w="3618"/>
        <w:gridCol w:w="2115"/>
      </w:tblGrid>
      <w:tr>
        <w:trPr>
          <w:cantSplit/>
          <w:tblHeader/>
        </w:trPr>
        <w:tc>
          <w:tcPr>
            <w:tcW w:type="dxa" w:w="35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 or rule</w:t>
            </w:r>
          </w:p>
        </w:tc>
        <w:tc>
          <w:tcPr>
            <w:tcW w:type="dxa" w:w="361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211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5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and Settlement Systems Act, 2024</w:t>
            </w:r>
          </w:p>
        </w:tc>
        <w:tc>
          <w:tcPr>
            <w:tcW w:type="dxa" w:w="36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Bangladesh Bank approval needed to issue, buy or sell a prepaid payment instrument; up to 5 years and/or Tk 50 lakh</w:t>
            </w:r>
          </w:p>
        </w:tc>
        <w:tc>
          <w:tcPr>
            <w:tcW w:type="dxa" w:w="21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5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Bank Guidelines for issuing Prepaid Instrument (PI) by non-payment system entities, 2024 (v1.0, June 2024)</w:t>
            </w:r>
          </w:p>
        </w:tc>
        <w:tc>
          <w:tcPr>
            <w:tcW w:type="dxa" w:w="361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no replacement found. Closed PI = stored value in BDT, bought with money, usable only for the issuer's own goods or services (vouchers, gift cards, wallets). Issuer "shall take approval". No exemption for non-cash-out store credit found</w:t>
            </w:r>
          </w:p>
        </w:tc>
        <w:tc>
          <w:tcPr>
            <w:tcW w:type="dxa" w:w="21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(text); medium (SaaS credit is a PI)</w:t>
            </w:r>
          </w:p>
        </w:tc>
      </w:tr>
      <w:tr>
        <w:trPr>
          <w:cantSplit/>
        </w:trPr>
        <w:tc>
          <w:tcPr>
            <w:tcW w:type="dxa" w:w="35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Same — eligibility</w:t>
            </w:r>
          </w:p>
        </w:tc>
        <w:tc>
          <w:tcPr>
            <w:tcW w:type="dxa" w:w="36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years of business in Bangladesh, 5 years of audited accounts, paid-up capital Tk 20 crore</w:t>
            </w:r>
          </w:p>
        </w:tc>
        <w:tc>
          <w:tcPr>
            <w:tcW w:type="dxa" w:w="21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5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Same — limits</w:t>
            </w:r>
          </w:p>
        </w:tc>
        <w:tc>
          <w:tcPr>
            <w:tcW w:type="dxa" w:w="361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value up to Tk 10,000; holding up to Tk 1 lakh; expiry up to 1 year plus one 1-year extension; discount up to 20%; no cash-out or transfer; expired balances held 1 year, then deposited with Bangladesh Bank</w:t>
            </w:r>
          </w:p>
        </w:tc>
        <w:tc>
          <w:tcPr>
            <w:tcW w:type="dxa" w:w="21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5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Draft E-Money Issuer regulations (November 2025)</w:t>
            </w:r>
          </w:p>
        </w:tc>
        <w:tc>
          <w:tcPr>
            <w:tcW w:type="dxa" w:w="36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status not confirmed; non-bank issuers would need Tk 50 crore capital</w:t>
            </w:r>
          </w:p>
        </w:tc>
        <w:tc>
          <w:tcPr>
            <w:tcW w:type="dxa" w:w="21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w:t>
            </w:r>
          </w:p>
        </w:tc>
      </w:tr>
      <w:tr>
        <w:trPr>
          <w:cantSplit/>
        </w:trPr>
        <w:tc>
          <w:tcPr>
            <w:tcW w:type="dxa" w:w="35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Bank e-commerce settlement circular (30 June 2021)</w:t>
            </w:r>
          </w:p>
        </w:tc>
        <w:tc>
          <w:tcPr>
            <w:tcW w:type="dxa" w:w="361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For vouchers, payment is withheld until the service is provided; refunds go back through the same medium</w:t>
            </w:r>
          </w:p>
        </w:tc>
        <w:tc>
          <w:tcPr>
            <w:tcW w:type="dxa" w:w="21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bl>
    <w:p>
      <w:pPr>
        <w:spacing w:after="120" w:before="0"/>
      </w:pPr>
    </w:p>
    <w:p>
      <w:pPr>
        <w:pStyle w:val="Heading2"/>
      </w:pPr>
      <w:r>
        <w:rPr>
          <w:rFonts w:ascii="Aptos" w:cs="Aptos" w:eastAsia="Aptos" w:hAnsi="Aptos"/>
        </w:rPr>
        <w:t xml:space="preserve">2.3 The finding</w:t>
      </w:r>
    </w:p>
    <w:p>
      <w:pPr>
        <w:pBdr>
          <w:left w:val="single" w:color="17365D" w:sz="24" w:space="8"/>
        </w:pBdr>
        <w:shd w:fill="EEF2F8" w:color="auto" w:val="clear"/>
        <w:spacing w:after="160" w:before="120" w:line="276"/>
        <w:ind w:left="200" w:right="120"/>
      </w:pPr>
      <w:r>
        <w:rPr>
          <w:rFonts w:ascii="Aptos" w:cs="Aptos" w:eastAsia="Aptos" w:hAnsi="Aptos"/>
        </w:rPr>
        <w:t xml:space="preserve">On the sources found, a wallet bought with Taka, holding a stored value and usable only for RemonLogic's services, looks like a closed Prepaid Instrument. Closed instruments are non-cash-out by definition, so "non-cash-out" does not take the wallet outside the guidelines. A new company cannot meet the eligibility criteria. Whether any redesign below falls outside "PI" is not confirmed [lawyer to confirm].</w:t>
      </w:r>
    </w:p>
    <w:p>
      <w:pPr>
        <w:spacing w:after="140" w:before="0" w:line="288"/>
      </w:pPr>
      <w:r>
        <w:rPr>
          <w:rFonts w:ascii="Aptos" w:cs="Aptos" w:eastAsia="Aptos" w:hAnsi="Aptos"/>
        </w:rPr>
        <w:t xml:space="preserve">Features that make the design look more like a PI: balances shown in Taka and booked as a liability; gift top-ups, a transferable gift card and a shared sibling wallet; a ৳30,000 reseller pack (above the Tk 10,000 face value) at 22% discount (above 20%). The 30-day cash refund of unused balance is a form of cash-out.</w:t>
      </w:r>
    </w:p>
    <w:p>
      <w:pPr>
        <w:pStyle w:val="Heading2"/>
      </w:pPr>
      <w:r>
        <w:rPr>
          <w:rFonts w:ascii="Aptos" w:cs="Aptos" w:eastAsia="Aptos" w:hAnsi="Aptos"/>
        </w:rPr>
        <w:t xml:space="preserve">2.4 Our proposed position — four options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3"/>
        <w:gridCol w:w="2131"/>
        <w:gridCol w:w="1868"/>
        <w:gridCol w:w="2317"/>
        <w:gridCol w:w="1687"/>
      </w:tblGrid>
      <w:tr>
        <w:trPr>
          <w:cantSplit/>
          <w:tblHeader/>
        </w:trPr>
        <w:tc>
          <w:tcPr>
            <w:tcW w:type="dxa" w:w="13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Option</w:t>
            </w:r>
          </w:p>
        </w:tc>
        <w:tc>
          <w:tcPr>
            <w:tcW w:type="dxa" w:w="213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it works</w:t>
            </w:r>
          </w:p>
        </w:tc>
        <w:tc>
          <w:tcPr>
            <w:tcW w:type="dxa" w:w="186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NexaTute</w:t>
            </w:r>
          </w:p>
        </w:tc>
        <w:tc>
          <w:tcPr>
            <w:tcW w:type="dxa" w:w="231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Motion Studio</w:t>
            </w:r>
          </w:p>
        </w:tc>
        <w:tc>
          <w:tcPr>
            <w:tcW w:type="dxa" w:w="168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Regulatory risk (Claude's view)</w:t>
            </w:r>
          </w:p>
        </w:tc>
      </w:tr>
      <w:tr>
        <w:trPr>
          <w:cantSplit/>
        </w:trPr>
        <w:tc>
          <w:tcPr>
            <w:tcW w:type="dxa" w:w="1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Pay per order</w:t>
            </w:r>
          </w:p>
        </w:tc>
        <w:tc>
          <w:tcPr>
            <w:tcW w:type="dxa" w:w="21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Each purchase paid at that moment through aamarPay; refunds to the original method; nothing stored</w:t>
            </w:r>
          </w:p>
        </w:tc>
        <w:tc>
          <w:tcPr>
            <w:tcW w:type="dxa" w:w="18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Extra minutes sold as small fixed blocks; add-ons and calls paid per booking</w:t>
            </w:r>
          </w:p>
        </w:tc>
        <w:tc>
          <w:tcPr>
            <w:tcW w:type="dxa" w:w="23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 &amp; pay" opens an aamarPay checkout for the exact amount; differences and failures refunded as partial refunds</w:t>
            </w:r>
          </w:p>
        </w:tc>
        <w:tc>
          <w:tcPr>
            <w:tcW w:type="dxa" w:w="16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Lowest; needs aamarPay partial refunds; fees on small payments</w:t>
            </w:r>
          </w:p>
        </w:tc>
      </w:tr>
      <w:tr>
        <w:trPr>
          <w:cantSplit/>
        </w:trPr>
        <w:tc>
          <w:tcPr>
            <w:tcW w:type="dxa" w:w="1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 Service units, not money</w:t>
            </w:r>
          </w:p>
        </w:tc>
        <w:tc>
          <w:tcPr>
            <w:tcW w:type="dxa" w:w="21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Plans or packs denominated in minutes, not Taka; not transferable; expire with the plan</w:t>
            </w:r>
          </w:p>
        </w:tc>
        <w:tc>
          <w:tcPr>
            <w:tcW w:type="dxa" w:w="18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becomes extra-minute packs tied to the plan</w:t>
            </w:r>
          </w:p>
        </w:tc>
        <w:tc>
          <w:tcPr>
            <w:tcW w:type="dxa" w:w="23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Minute packs (approved) become the prepaid route</w:t>
            </w:r>
          </w:p>
        </w:tc>
        <w:tc>
          <w:tcPr>
            <w:tcW w:type="dxa" w:w="16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 Bangladesh Bank may still see a prepaid pack as a PI</w:t>
            </w:r>
          </w:p>
        </w:tc>
      </w:tr>
      <w:tr>
        <w:trPr>
          <w:cantSplit/>
        </w:trPr>
        <w:tc>
          <w:tcPr>
            <w:tcW w:type="dxa" w:w="1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 Licensed partner holds the balance</w:t>
            </w:r>
          </w:p>
        </w:tc>
        <w:tc>
          <w:tcPr>
            <w:tcW w:type="dxa" w:w="21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licensed bank, MFS or PSP holds the money; RemonLogic charges it per order</w:t>
            </w:r>
          </w:p>
        </w:tc>
        <w:tc>
          <w:tcPr>
            <w:tcW w:type="dxa" w:w="18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Guardian's own wallet pays per order within a limit</w:t>
            </w:r>
          </w:p>
        </w:tc>
        <w:tc>
          <w:tcPr>
            <w:tcW w:type="dxa" w:w="23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Same, at storyboard approval</w:t>
            </w:r>
          </w:p>
        </w:tc>
        <w:tc>
          <w:tcPr>
            <w:tcW w:type="dxa" w:w="16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 if the partner's licence covers it; partner [to insert]</w:t>
            </w:r>
          </w:p>
        </w:tc>
      </w:tr>
      <w:tr>
        <w:trPr>
          <w:cantSplit/>
        </w:trPr>
        <w:tc>
          <w:tcPr>
            <w:tcW w:type="dxa" w:w="1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 Approval later</w:t>
            </w:r>
          </w:p>
        </w:tc>
        <w:tc>
          <w:tcPr>
            <w:tcW w:type="dxa" w:w="21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Launch on A or B; keep the ledger internal for receipts; apply when eligible or under e-money rules</w:t>
            </w:r>
          </w:p>
        </w:tc>
        <w:tc>
          <w:tcPr>
            <w:tcW w:type="dxa" w:w="18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23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6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 now</w:t>
            </w:r>
          </w:p>
        </w:tc>
      </w:tr>
    </w:tbl>
    <w:p>
      <w:pPr>
        <w:spacing w:after="120" w:before="0"/>
      </w:pPr>
    </w:p>
    <w:p>
      <w:pPr>
        <w:spacing w:after="140" w:before="0" w:line="288"/>
      </w:pPr>
      <w:r>
        <w:rPr>
          <w:rFonts w:ascii="Aptos" w:cs="Aptos" w:eastAsia="Aptos" w:hAnsi="Aptos"/>
        </w:rPr>
        <w:t xml:space="preserve">Claude's recommendation for the lawyer to test:</w:t>
      </w:r>
    </w:p>
    <w:p>
      <w:pPr>
        <w:pStyle w:val="ListParagraph"/>
        <w:numPr>
          <w:ilvl w:val="0"/>
          <w:numId w:val="6"/>
        </w:numPr>
        <w:spacing w:after="60" w:before="0"/>
      </w:pPr>
      <w:r>
        <w:rPr>
          <w:rFonts w:ascii="Aptos" w:cs="Aptos" w:eastAsia="Aptos" w:hAnsi="Aptos"/>
        </w:rPr>
        <w:t xml:space="preserve">Motion Studio: Option A (it already charges at one moment). Credits, minute packs and reseller packs stay off until the lawyer decides.</w:t>
      </w:r>
    </w:p>
    <w:p>
      <w:pPr>
        <w:pStyle w:val="ListParagraph"/>
        <w:numPr>
          <w:ilvl w:val="0"/>
          <w:numId w:val="6"/>
        </w:numPr>
        <w:spacing w:after="60" w:before="0"/>
      </w:pPr>
      <w:r>
        <w:rPr>
          <w:rFonts w:ascii="Aptos" w:cs="Aptos" w:eastAsia="Aptos" w:hAnsi="Aptos"/>
        </w:rPr>
        <w:t xml:space="preserve">NexaTute: Option A for add-ons and calls; Option B for extra-minute packs only if the lawyer confirms they are not a PI.</w:t>
      </w:r>
    </w:p>
    <w:p>
      <w:pPr>
        <w:pStyle w:val="ListParagraph"/>
        <w:numPr>
          <w:ilvl w:val="0"/>
          <w:numId w:val="6"/>
        </w:numPr>
        <w:spacing w:after="60" w:before="0"/>
      </w:pPr>
      <w:r>
        <w:rPr>
          <w:rFonts w:ascii="Aptos" w:cs="Aptos" w:eastAsia="Aptos" w:hAnsi="Aptos"/>
        </w:rPr>
        <w:t xml:space="preserve">Long term: Option D; Option C if a licensed partner offers it.</w:t>
      </w:r>
    </w:p>
    <w:p>
      <w:pPr>
        <w:pStyle w:val="ListParagraph"/>
        <w:numPr>
          <w:ilvl w:val="0"/>
          <w:numId w:val="6"/>
        </w:numPr>
        <w:spacing w:after="60" w:before="0"/>
      </w:pPr>
      <w:r>
        <w:rPr>
          <w:rFonts w:ascii="Aptos" w:cs="Aptos" w:eastAsia="Aptos" w:hAnsi="Aptos"/>
        </w:rPr>
        <w:t xml:space="preserve">Non-purchased allowances (referral, rewards, Free Beta, outage credits) shown in minutes, not Taka [lawyer to confirm they fall outside the guidelines].</w:t>
      </w:r>
    </w:p>
    <w:p>
      <w:pPr>
        <w:pStyle w:val="ListParagraph"/>
        <w:numPr>
          <w:ilvl w:val="0"/>
          <w:numId w:val="6"/>
        </w:numPr>
        <w:spacing w:after="60" w:before="0"/>
      </w:pPr>
      <w:r>
        <w:rPr>
          <w:rFonts w:ascii="Aptos" w:cs="Aptos" w:eastAsia="Aptos" w:hAnsi="Aptos"/>
        </w:rPr>
        <w:t xml:space="preserve">Gift cards, vouchers, third-party gift top-ups and reseller packs off until a lawful form is confirmed; reseller sales can become invoiced wholesale purchases of plan codes (default, editable).</w:t>
      </w:r>
    </w:p>
    <w:p>
      <w:pPr>
        <w:pStyle w:val="ListParagraph"/>
        <w:numPr>
          <w:ilvl w:val="0"/>
          <w:numId w:val="6"/>
        </w:numPr>
        <w:spacing w:after="60" w:before="0"/>
      </w:pPr>
      <w:r>
        <w:rPr>
          <w:rFonts w:ascii="Aptos" w:cs="Aptos" w:eastAsia="Aptos" w:hAnsi="Aptos"/>
        </w:rPr>
        <w:t xml:space="preserve">The admin panel keeps "wallet" as a switch, off for Bangladesh by default (default, editable). Sponsor-a-Learner becomes a direct plan purchase.</w:t>
      </w:r>
    </w:p>
    <w:p>
      <w:pPr>
        <w:pStyle w:val="ListParagraph"/>
        <w:numPr>
          <w:ilvl w:val="0"/>
          <w:numId w:val="6"/>
        </w:numPr>
        <w:spacing w:after="60" w:before="0"/>
      </w:pPr>
      <w:r>
        <w:rPr>
          <w:rFonts w:ascii="Aptos" w:cs="Aptos" w:eastAsia="Aptos" w:hAnsi="Aptos"/>
        </w:rPr>
        <w:t xml:space="preserve">USD balances through Paddle are reviewed by the international firm; until then, international customers also pay per order or plan.</w:t>
      </w:r>
    </w:p>
    <w:p>
      <w:pPr>
        <w:pStyle w:val="Heading2"/>
      </w:pPr>
      <w:r>
        <w:rPr>
          <w:rFonts w:ascii="Aptos" w:cs="Aptos" w:eastAsia="Aptos" w:hAnsi="Aptos"/>
        </w:rPr>
        <w:t xml:space="preserve">2.5 Risks if wrong</w:t>
      </w:r>
    </w:p>
    <w:p>
      <w:pPr>
        <w:pStyle w:val="ListParagraph"/>
        <w:numPr>
          <w:ilvl w:val="0"/>
          <w:numId w:val="3"/>
        </w:numPr>
        <w:spacing w:after="60" w:before="0"/>
      </w:pPr>
      <w:r>
        <w:rPr>
          <w:rFonts w:ascii="Aptos" w:cs="Aptos" w:eastAsia="Aptos" w:hAnsi="Aptos"/>
        </w:rPr>
        <w:t xml:space="preserve">Offence with up to 5 years and/or Tk 50 lakh; officers exposed.</w:t>
      </w:r>
    </w:p>
    <w:p>
      <w:pPr>
        <w:pStyle w:val="ListParagraph"/>
        <w:numPr>
          <w:ilvl w:val="0"/>
          <w:numId w:val="3"/>
        </w:numPr>
        <w:spacing w:after="60" w:before="0"/>
      </w:pPr>
      <w:r>
        <w:rPr>
          <w:rFonts w:ascii="Aptos" w:cs="Aptos" w:eastAsia="Aptos" w:hAnsi="Aptos"/>
        </w:rPr>
        <w:t xml:space="preserve">Order to close the wallet and refund all balances; payment partners suspend the merchant account.</w:t>
      </w:r>
    </w:p>
    <w:p>
      <w:pPr>
        <w:pStyle w:val="ListParagraph"/>
        <w:numPr>
          <w:ilvl w:val="0"/>
          <w:numId w:val="3"/>
        </w:numPr>
        <w:spacing w:after="60" w:before="0"/>
      </w:pPr>
      <w:r>
        <w:rPr>
          <w:rFonts w:ascii="Aptos" w:cs="Aptos" w:eastAsia="Aptos" w:hAnsi="Aptos"/>
        </w:rPr>
        <w:t xml:space="preserve">Settlement withheld until delivery if balances are treated as vouchers.</w:t>
      </w:r>
    </w:p>
    <w:p>
      <w:pPr>
        <w:pStyle w:val="ListParagraph"/>
        <w:numPr>
          <w:ilvl w:val="0"/>
          <w:numId w:val="3"/>
        </w:numPr>
        <w:spacing w:after="60" w:before="0"/>
      </w:pPr>
      <w:r>
        <w:rPr>
          <w:rFonts w:ascii="Aptos" w:cs="Aptos" w:eastAsia="Aptos" w:hAnsi="Aptos"/>
        </w:rPr>
        <w:t xml:space="preserve">Rebuilding payments after launch; VAT timing changes (chapter 4).</w:t>
      </w:r>
    </w:p>
    <w:p>
      <w:pPr>
        <w:pStyle w:val="Heading2"/>
      </w:pPr>
      <w:r>
        <w:rPr>
          <w:rFonts w:ascii="Aptos" w:cs="Aptos" w:eastAsia="Aptos" w:hAnsi="Aptos"/>
        </w:rPr>
        <w:t xml:space="preserve">2.6 Questions for the lawyer</w:t>
      </w:r>
    </w:p>
    <w:p>
      <w:pPr>
        <w:pStyle w:val="ListParagraph"/>
        <w:numPr>
          <w:ilvl w:val="0"/>
          <w:numId w:val="7"/>
        </w:numPr>
        <w:spacing w:after="60" w:before="0"/>
      </w:pPr>
      <w:r>
        <w:rPr>
          <w:rFonts w:ascii="Aptos" w:cs="Aptos" w:eastAsia="Aptos" w:hAnsi="Aptos"/>
        </w:rPr>
        <w:t xml:space="preserve">Is a non-cash-out, non-transferable Taka balance for RemonLogic's services a closed PI? Is any exemption available?</w:t>
      </w:r>
    </w:p>
    <w:p>
      <w:pPr>
        <w:pStyle w:val="ListParagraph"/>
        <w:numPr>
          <w:ilvl w:val="0"/>
          <w:numId w:val="7"/>
        </w:numPr>
        <w:spacing w:after="60" w:before="0"/>
      </w:pPr>
      <w:r>
        <w:rPr>
          <w:rFonts w:ascii="Aptos" w:cs="Aptos" w:eastAsia="Aptos" w:hAnsi="Aptos"/>
        </w:rPr>
        <w:t xml:space="preserve">Does Option B (minute packs in service units tied to a plan) fall outside the guidelines?</w:t>
      </w:r>
    </w:p>
    <w:p>
      <w:pPr>
        <w:pStyle w:val="ListParagraph"/>
        <w:numPr>
          <w:ilvl w:val="0"/>
          <w:numId w:val="7"/>
        </w:numPr>
        <w:spacing w:after="60" w:before="0"/>
      </w:pPr>
      <w:r>
        <w:rPr>
          <w:rFonts w:ascii="Aptos" w:cs="Aptos" w:eastAsia="Aptos" w:hAnsi="Aptos"/>
        </w:rPr>
        <w:t xml:space="preserve">Are non-purchased promotional allowances outside the guidelines?</w:t>
      </w:r>
    </w:p>
    <w:p>
      <w:pPr>
        <w:pStyle w:val="ListParagraph"/>
        <w:numPr>
          <w:ilvl w:val="0"/>
          <w:numId w:val="7"/>
        </w:numPr>
        <w:spacing w:after="60" w:before="0"/>
      </w:pPr>
      <w:r>
        <w:rPr>
          <w:rFonts w:ascii="Aptos" w:cs="Aptos" w:eastAsia="Aptos" w:hAnsi="Aptos"/>
        </w:rPr>
        <w:t xml:space="preserve">Is a refund credited to the wallet itself stored value, so that refunds must go to the original method?</w:t>
      </w:r>
    </w:p>
    <w:p>
      <w:pPr>
        <w:pStyle w:val="ListParagraph"/>
        <w:numPr>
          <w:ilvl w:val="0"/>
          <w:numId w:val="7"/>
        </w:numPr>
        <w:spacing w:after="60" w:before="0"/>
      </w:pPr>
      <w:r>
        <w:rPr>
          <w:rFonts w:ascii="Aptos" w:cs="Aptos" w:eastAsia="Aptos" w:hAnsi="Aptos"/>
        </w:rPr>
        <w:t xml:space="preserve">Can gift cards, gift top-ups, shared sibling wallets and reseller packs exist lawfully without approval?</w:t>
      </w:r>
    </w:p>
    <w:p>
      <w:pPr>
        <w:pStyle w:val="ListParagraph"/>
        <w:numPr>
          <w:ilvl w:val="0"/>
          <w:numId w:val="7"/>
        </w:numPr>
        <w:spacing w:after="60" w:before="0"/>
      </w:pPr>
      <w:r>
        <w:rPr>
          <w:rFonts w:ascii="Aptos" w:cs="Aptos" w:eastAsia="Aptos" w:hAnsi="Aptos"/>
        </w:rPr>
        <w:t xml:space="preserve">Does one wallet across several products remain a closed PI?</w:t>
      </w:r>
    </w:p>
    <w:p>
      <w:pPr>
        <w:pStyle w:val="ListParagraph"/>
        <w:numPr>
          <w:ilvl w:val="0"/>
          <w:numId w:val="7"/>
        </w:numPr>
        <w:spacing w:after="60" w:before="0"/>
      </w:pPr>
      <w:r>
        <w:rPr>
          <w:rFonts w:ascii="Aptos" w:cs="Aptos" w:eastAsia="Aptos" w:hAnsi="Aptos"/>
        </w:rPr>
        <w:t xml:space="preserve">What is the status of the November 2025 e-money regulations, and is there an accepted licensed-partner model?</w:t>
      </w:r>
    </w:p>
    <w:p>
      <w:pPr>
        <w:pStyle w:val="ListParagraph"/>
        <w:numPr>
          <w:ilvl w:val="0"/>
          <w:numId w:val="7"/>
        </w:numPr>
        <w:spacing w:after="60" w:before="0"/>
      </w:pPr>
      <w:r>
        <w:rPr>
          <w:rFonts w:ascii="Aptos" w:cs="Aptos" w:eastAsia="Aptos" w:hAnsi="Aptos"/>
        </w:rPr>
        <w:t xml:space="preserve">Do the rules reach USD balances bought abroad through Paddle?</w:t>
      </w:r>
    </w:p>
    <w:p>
      <w:pPr>
        <w:pStyle w:val="ListParagraph"/>
        <w:numPr>
          <w:ilvl w:val="0"/>
          <w:numId w:val="7"/>
        </w:numPr>
        <w:spacing w:after="60" w:before="0"/>
      </w:pPr>
      <w:r>
        <w:rPr>
          <w:rFonts w:ascii="Aptos" w:cs="Aptos" w:eastAsia="Aptos" w:hAnsi="Aptos"/>
        </w:rPr>
        <w:t xml:space="preserve">Which option does the lawyer choose for NexaTute and for Motion Studio?</w:t>
      </w:r>
    </w:p>
    <w:p>
      <w:pPr>
        <w:pStyle w:val="Heading2"/>
      </w:pPr>
      <w:r>
        <w:rPr>
          <w:rFonts w:ascii="Aptos" w:cs="Aptos" w:eastAsia="Aptos" w:hAnsi="Aptos"/>
        </w:rPr>
        <w:t xml:space="preserve">2.7 Documents and actions needed</w:t>
      </w:r>
    </w:p>
    <w:p>
      <w:pPr>
        <w:pStyle w:val="ListParagraph"/>
        <w:numPr>
          <w:ilvl w:val="0"/>
          <w:numId w:val="3"/>
        </w:numPr>
        <w:spacing w:after="60" w:before="0"/>
      </w:pPr>
      <w:r>
        <w:rPr>
          <w:rFonts w:ascii="Aptos" w:cs="Aptos" w:eastAsia="Aptos" w:hAnsi="Aptos"/>
        </w:rPr>
        <w:t xml:space="preserve">Lawyer's written choice among Options A–D (before Free Beta, so the build follows it).</w:t>
      </w:r>
    </w:p>
    <w:p>
      <w:pPr>
        <w:pStyle w:val="ListParagraph"/>
        <w:numPr>
          <w:ilvl w:val="0"/>
          <w:numId w:val="3"/>
        </w:numPr>
        <w:spacing w:after="60" w:before="0"/>
      </w:pPr>
      <w:r>
        <w:rPr>
          <w:rFonts w:ascii="Aptos" w:cs="Aptos" w:eastAsia="Aptos" w:hAnsi="Aptos"/>
        </w:rPr>
        <w:t xml:space="preserve">Payment-flow redesign; wallet switch off by default for Bangladesh.</w:t>
      </w:r>
    </w:p>
    <w:p>
      <w:pPr>
        <w:pStyle w:val="ListParagraph"/>
        <w:numPr>
          <w:ilvl w:val="0"/>
          <w:numId w:val="3"/>
        </w:numPr>
        <w:spacing w:after="60" w:before="0"/>
      </w:pPr>
      <w:r>
        <w:rPr>
          <w:rFonts w:ascii="Aptos" w:cs="Aptos" w:eastAsia="Aptos" w:hAnsi="Aptos"/>
        </w:rPr>
        <w:t xml:space="preserve">aamarPay confirmation of partial refunds, refunds to the original method and recurring payments.</w:t>
      </w:r>
    </w:p>
    <w:p>
      <w:pPr>
        <w:pStyle w:val="ListParagraph"/>
        <w:numPr>
          <w:ilvl w:val="0"/>
          <w:numId w:val="3"/>
        </w:numPr>
        <w:spacing w:after="60" w:before="0"/>
      </w:pPr>
      <w:r>
        <w:rPr>
          <w:rFonts w:ascii="Aptos" w:cs="Aptos" w:eastAsia="Aptos" w:hAnsi="Aptos"/>
        </w:rPr>
        <w:t xml:space="preserve">Revised refund policies (chapter 3) and the accountant's revenue and VAT treatment (chapter 4).</w:t>
      </w:r>
    </w:p>
    <w:p>
      <w:pPr>
        <w:pStyle w:val="Heading1"/>
        <w:pageBreakBefore/>
      </w:pPr>
      <w:r>
        <w:rPr>
          <w:rFonts w:ascii="Aptos" w:cs="Aptos" w:eastAsia="Aptos" w:hAnsi="Aptos"/>
        </w:rPr>
        <w:t xml:space="preserve">3. Consumer Protection and Digital Commerce</w:t>
      </w:r>
    </w:p>
    <w:p>
      <w:pPr>
        <w:spacing w:after="140" w:before="0" w:line="288"/>
      </w:pPr>
      <w:r>
        <w:rPr>
          <w:rFonts w:ascii="Aptos" w:cs="Aptos" w:eastAsia="Aptos" w:hAnsi="Aptos"/>
        </w:rPr>
        <w:t xml:space="preserve">Covers delivery, refund, renewal, price-change and marketing promises to customers in Bangladesh, measured against the Consumers' Right Protection Act 2009 and the Digital Commerce Operation Guidelines 2021 (DCOG). Applies to both products.</w:t>
      </w:r>
    </w:p>
    <w:p>
      <w:pPr>
        <w:pStyle w:val="Heading2"/>
      </w:pPr>
      <w:r>
        <w:rPr>
          <w:rFonts w:ascii="Aptos" w:cs="Aptos" w:eastAsia="Aptos" w:hAnsi="Aptos"/>
        </w:rPr>
        <w:t xml:space="preserve">3.1 Facts</w:t>
      </w:r>
    </w:p>
    <w:p>
      <w:pPr>
        <w:pStyle w:val="ListParagraph"/>
        <w:numPr>
          <w:ilvl w:val="0"/>
          <w:numId w:val="3"/>
        </w:numPr>
        <w:spacing w:after="60" w:before="0"/>
      </w:pPr>
      <w:r>
        <w:rPr>
          <w:rFonts w:ascii="Aptos" w:cs="Aptos" w:eastAsia="Aptos" w:hAnsi="Aptos"/>
        </w:rPr>
        <w:t xml:space="preserve">NexaTute: monthly plans, prepay packages, Daily Pass, add-ons, learning-guarantee terms; paid from 1 January 2027. Motion Studio: packages, pre-production fee, per-minute rates at storyboard approval; Express (+20%, shown ETA), Normal (12 hours), Slow (24 hours); Islamic review up to 7 days, uncharged until approval.</w:t>
      </w:r>
    </w:p>
    <w:p>
      <w:pPr>
        <w:pStyle w:val="ListParagraph"/>
        <w:numPr>
          <w:ilvl w:val="0"/>
          <w:numId w:val="3"/>
        </w:numPr>
        <w:spacing w:after="60" w:before="0"/>
      </w:pPr>
      <w:r>
        <w:rPr>
          <w:rFonts w:ascii="Aptos" w:cs="Aptos" w:eastAsia="Aptos" w:hAnsi="Aptos"/>
        </w:rPr>
        <w:t xml:space="preserve">One-click cancel, proration, 7 days' notice of price rises (default, editable); app-store purchases +30% on a separate line.</w:t>
      </w:r>
    </w:p>
    <w:p>
      <w:pPr>
        <w:pStyle w:val="ListParagraph"/>
        <w:numPr>
          <w:ilvl w:val="0"/>
          <w:numId w:val="3"/>
        </w:numPr>
        <w:spacing w:after="60" w:before="0"/>
      </w:pPr>
      <w:r>
        <w:rPr>
          <w:rFonts w:ascii="Aptos" w:cs="Aptos" w:eastAsia="Aptos" w:hAnsi="Aptos"/>
        </w:rPr>
        <w:t xml:space="preserve">Refunds: fresh purchase 0–30 days, 100% of the unused portion (Motion Studio package fee only if no video was made that cycle); 31+ days none; technical failures, outages, wrong or duplicate charges refunded or credited; Motion Studio shorter, failed or late videos refunded to the wallet automatically; refund channel "original method or wallet" open.</w:t>
      </w:r>
    </w:p>
    <w:p>
      <w:pPr>
        <w:pStyle w:val="ListParagraph"/>
        <w:numPr>
          <w:ilvl w:val="0"/>
          <w:numId w:val="3"/>
        </w:numPr>
        <w:spacing w:after="60" w:before="0"/>
      </w:pPr>
      <w:r>
        <w:rPr>
          <w:rFonts w:ascii="Aptos" w:cs="Aptos" w:eastAsia="Aptos" w:hAnsi="Aptos"/>
        </w:rPr>
        <w:t xml:space="preserve">Adopted marketing rules: no fake reviews or numbers, no scarcity wording, no "No. 1" claims, no AI testimonials.</w:t>
      </w:r>
    </w:p>
    <w:p>
      <w:pPr>
        <w:pStyle w:val="ListParagraph"/>
        <w:numPr>
          <w:ilvl w:val="0"/>
          <w:numId w:val="3"/>
        </w:numPr>
        <w:spacing w:after="60" w:before="0"/>
      </w:pPr>
      <w:r>
        <w:rPr>
          <w:rFonts w:ascii="Aptos" w:cs="Aptos" w:eastAsia="Aptos" w:hAnsi="Aptos"/>
        </w:rPr>
        <w:t xml:space="preserve">Legal pages: NexaTute in six languages, Motion Studio in English with a summary; English prevails in both.</w:t>
      </w:r>
    </w:p>
    <w:p>
      <w:pPr>
        <w:pStyle w:val="Heading2"/>
      </w:pPr>
      <w:r>
        <w:rPr>
          <w:rFonts w:ascii="Aptos" w:cs="Aptos" w:eastAsia="Aptos" w:hAnsi="Aptos"/>
        </w:rPr>
        <w:t xml:space="preserve">3.2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4"/>
        <w:gridCol w:w="4084"/>
        <w:gridCol w:w="2358"/>
      </w:tblGrid>
      <w:tr>
        <w:trPr>
          <w:cantSplit/>
          <w:tblHeader/>
        </w:trPr>
        <w:tc>
          <w:tcPr>
            <w:tcW w:type="dxa" w:w="286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408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235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2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Consumers' Right Protection Act, 2009 (Act No. 26 of 2009)</w:t>
            </w:r>
          </w:p>
        </w:tc>
        <w:tc>
          <w:tcPr>
            <w:tcW w:type="dxa" w:w="40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no 2025–26 amendment found. Offences: misleading advertisement (reported s.44), not supplying promised services (s.45), negligent service harming safety (s.53). DNCRP complaints within 30 days (s.60); fines partly paid to complainants</w:t>
            </w:r>
          </w:p>
        </w:tc>
        <w:tc>
          <w:tcPr>
            <w:tcW w:type="dxa" w:w="23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 low on sections</w:t>
            </w:r>
          </w:p>
        </w:tc>
      </w:tr>
      <w:tr>
        <w:trPr>
          <w:cantSplit/>
        </w:trPr>
        <w:tc>
          <w:tcPr>
            <w:tcW w:type="dxa" w:w="28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DCOG 2021 (Ministry of Commerce, 4 July 2021, amended 2021)</w:t>
            </w:r>
          </w:p>
        </w:tc>
        <w:tc>
          <w:tcPr>
            <w:tcW w:type="dxa" w:w="40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Operative as far as found; covers goods and services sold online. Display trade licence, VAT number, TIN, DBID; refund, return and delivery terms in Bangla; checkbox consent before collecting data</w:t>
            </w:r>
          </w:p>
        </w:tc>
        <w:tc>
          <w:tcPr>
            <w:tcW w:type="dxa" w:w="235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 SaaS applicability not confirmed</w:t>
            </w:r>
          </w:p>
        </w:tc>
      </w:tr>
      <w:tr>
        <w:trPr>
          <w:cantSplit/>
        </w:trPr>
        <w:tc>
          <w:tcPr>
            <w:tcW w:type="dxa" w:w="2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DCOG — delivery and refunds</w:t>
            </w:r>
          </w:p>
        </w:tc>
        <w:tc>
          <w:tcPr>
            <w:tcW w:type="dxa" w:w="40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Hand-over within 48 hours; delivery within 5 or 10 days. For delay after advance payment, full refund within 10 days through the same payment channel. If the seller cannot supply: notice within 48 hours, refund within 72 hours of the notice</w:t>
            </w:r>
          </w:p>
        </w:tc>
        <w:tc>
          <w:tcPr>
            <w:tcW w:type="dxa" w:w="23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28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DCOG — other</w:t>
            </w:r>
          </w:p>
        </w:tc>
        <w:tc>
          <w:tcPr>
            <w:tcW w:type="dxa" w:w="40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 advance only for ready-to-ship goods or with an approved escrow; complaint reply within 72 hours; a compliance officer liaising with the DNCRP; reviews not deleted; records kept 6 years</w:t>
            </w:r>
          </w:p>
        </w:tc>
        <w:tc>
          <w:tcPr>
            <w:tcW w:type="dxa" w:w="235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bl>
    <w:p>
      <w:pPr>
        <w:spacing w:after="120" w:before="0"/>
      </w:pPr>
    </w:p>
    <w:p>
      <w:pPr>
        <w:pStyle w:val="Heading2"/>
      </w:pPr>
      <w:r>
        <w:rPr>
          <w:rFonts w:ascii="Aptos" w:cs="Aptos" w:eastAsia="Aptos" w:hAnsi="Aptos"/>
        </w:rPr>
        <w:t xml:space="preserve">3.3 Our proposed position</w:t>
      </w:r>
    </w:p>
    <w:p>
      <w:pPr>
        <w:pStyle w:val="ListParagraph"/>
        <w:numPr>
          <w:ilvl w:val="0"/>
          <w:numId w:val="8"/>
        </w:numPr>
        <w:spacing w:after="60" w:before="0"/>
      </w:pPr>
      <w:r>
        <w:rPr>
          <w:rFonts w:ascii="Aptos" w:cs="Aptos" w:eastAsia="Aptos" w:hAnsi="Aptos"/>
        </w:rPr>
        <w:t xml:space="preserve">Treat the DCOG as applying to both products until the lawyer says otherwise; services are expressly covered and compliance is cheap.</w:t>
      </w:r>
    </w:p>
    <w:p>
      <w:pPr>
        <w:pStyle w:val="ListParagraph"/>
        <w:numPr>
          <w:ilvl w:val="0"/>
          <w:numId w:val="8"/>
        </w:numPr>
        <w:spacing w:after="60" w:before="0"/>
      </w:pPr>
      <w:r>
        <w:rPr>
          <w:rFonts w:ascii="Aptos" w:cs="Aptos" w:eastAsia="Aptos" w:hAnsi="Aptos"/>
        </w:rPr>
        <w:t xml:space="preserve">Before paid launch, show on both websites the company name, address, trade licence, BIN, TIN, DBID (if required), support contacts and compliance officer [to insert].</w:t>
      </w:r>
    </w:p>
    <w:p>
      <w:pPr>
        <w:pStyle w:val="ListParagraph"/>
        <w:numPr>
          <w:ilvl w:val="0"/>
          <w:numId w:val="8"/>
        </w:numPr>
        <w:spacing w:after="60" w:before="0"/>
      </w:pPr>
      <w:r>
        <w:rPr>
          <w:rFonts w:ascii="Aptos" w:cs="Aptos" w:eastAsia="Aptos" w:hAnsi="Aptos"/>
        </w:rPr>
        <w:t xml:space="preserve">Publish refund, cancellation, delivery and complaint terms in Bangla and English; for consumers, both versions are official and the one more favourable to the consumer applies (default, editable) [lawyer to confirm]. English may prevail for business terms.</w:t>
      </w:r>
    </w:p>
    <w:p>
      <w:pPr>
        <w:pStyle w:val="ListParagraph"/>
        <w:numPr>
          <w:ilvl w:val="0"/>
          <w:numId w:val="8"/>
        </w:numPr>
        <w:spacing w:after="60" w:before="0"/>
      </w:pPr>
      <w:r>
        <w:rPr>
          <w:rFonts w:ascii="Aptos" w:cs="Aptos" w:eastAsia="Aptos" w:hAnsi="Aptos"/>
        </w:rPr>
        <w:t xml:space="preserve">Refund channel: any money refund goes to the original payment method within 10 days (default, editable), unless the customer chooses a credit (only if a lawful credit exists after chapter 2).</w:t>
      </w:r>
    </w:p>
    <w:p>
      <w:pPr>
        <w:pStyle w:val="ListParagraph"/>
        <w:numPr>
          <w:ilvl w:val="0"/>
          <w:numId w:val="8"/>
        </w:numPr>
        <w:spacing w:after="60" w:before="0"/>
      </w:pPr>
      <w:r>
        <w:rPr>
          <w:rFonts w:ascii="Aptos" w:cs="Aptos" w:eastAsia="Aptos" w:hAnsi="Aptos"/>
        </w:rPr>
        <w:t xml:space="preserve">Delivery promises stay, with automatic refunds when missed; late Normal and Slow videos get a full refund of that video's charge (default, editable).</w:t>
      </w:r>
    </w:p>
    <w:p>
      <w:pPr>
        <w:pStyle w:val="ListParagraph"/>
        <w:numPr>
          <w:ilvl w:val="0"/>
          <w:numId w:val="8"/>
        </w:numPr>
        <w:spacing w:after="60" w:before="0"/>
      </w:pPr>
      <w:r>
        <w:rPr>
          <w:rFonts w:ascii="Aptos" w:cs="Aptos" w:eastAsia="Aptos" w:hAnsi="Aptos"/>
        </w:rPr>
        <w:t xml:space="preserve">Advance payment: a plan paid at the start of a service that starts immediately is not, in Claude's reading, the restricted "advance for goods not ready to ship" [lawyer to confirm].</w:t>
      </w:r>
    </w:p>
    <w:p>
      <w:pPr>
        <w:pStyle w:val="ListParagraph"/>
        <w:numPr>
          <w:ilvl w:val="0"/>
          <w:numId w:val="8"/>
        </w:numPr>
        <w:spacing w:after="60" w:before="0"/>
      </w:pPr>
      <w:r>
        <w:rPr>
          <w:rFonts w:ascii="Aptos" w:cs="Aptos" w:eastAsia="Aptos" w:hAnsi="Aptos"/>
        </w:rPr>
        <w:t xml:space="preserve">Complaints: acknowledgement at once, resolution message within 72 hours, named compliance officer, records kept 6 years.</w:t>
      </w:r>
    </w:p>
    <w:p>
      <w:pPr>
        <w:pStyle w:val="ListParagraph"/>
        <w:numPr>
          <w:ilvl w:val="0"/>
          <w:numId w:val="8"/>
        </w:numPr>
        <w:spacing w:after="60" w:before="0"/>
      </w:pPr>
      <w:r>
        <w:rPr>
          <w:rFonts w:ascii="Aptos" w:cs="Aptos" w:eastAsia="Aptos" w:hAnsi="Aptos"/>
        </w:rPr>
        <w:t xml:space="preserve">A written basis for every public claim; public reviews never deleted except unlawful content.</w:t>
      </w:r>
    </w:p>
    <w:p>
      <w:pPr>
        <w:pStyle w:val="Heading2"/>
      </w:pPr>
      <w:r>
        <w:rPr>
          <w:rFonts w:ascii="Aptos" w:cs="Aptos" w:eastAsia="Aptos" w:hAnsi="Aptos"/>
        </w:rPr>
        <w:t xml:space="preserve">3.4 Risks if wrong</w:t>
      </w:r>
    </w:p>
    <w:p>
      <w:pPr>
        <w:pStyle w:val="ListParagraph"/>
        <w:numPr>
          <w:ilvl w:val="0"/>
          <w:numId w:val="3"/>
        </w:numPr>
        <w:spacing w:after="60" w:before="0"/>
      </w:pPr>
      <w:r>
        <w:rPr>
          <w:rFonts w:ascii="Aptos" w:cs="Aptos" w:eastAsia="Aptos" w:hAnsi="Aptos"/>
        </w:rPr>
        <w:t xml:space="preserve">DNCRP fines (shared with complainants); a wallet-only refund counted as no refund; English-only terms unenforceable or in breach of the DCOG; chargebacks and settlement holds.</w:t>
      </w:r>
    </w:p>
    <w:p>
      <w:pPr>
        <w:pStyle w:val="Heading2"/>
      </w:pPr>
      <w:r>
        <w:rPr>
          <w:rFonts w:ascii="Aptos" w:cs="Aptos" w:eastAsia="Aptos" w:hAnsi="Aptos"/>
        </w:rPr>
        <w:t xml:space="preserve">3.5 Questions for the lawyer</w:t>
      </w:r>
    </w:p>
    <w:p>
      <w:pPr>
        <w:pStyle w:val="ListParagraph"/>
        <w:numPr>
          <w:ilvl w:val="0"/>
          <w:numId w:val="9"/>
        </w:numPr>
        <w:spacing w:after="60" w:before="0"/>
      </w:pPr>
      <w:r>
        <w:rPr>
          <w:rFonts w:ascii="Aptos" w:cs="Aptos" w:eastAsia="Aptos" w:hAnsi="Aptos"/>
        </w:rPr>
        <w:t xml:space="preserve">Does the DCOG bind an online-education and AI-video SaaS provider, and the free Free Beta?</w:t>
      </w:r>
    </w:p>
    <w:p>
      <w:pPr>
        <w:pStyle w:val="ListParagraph"/>
        <w:numPr>
          <w:ilvl w:val="0"/>
          <w:numId w:val="9"/>
        </w:numPr>
        <w:spacing w:after="60" w:before="0"/>
      </w:pPr>
      <w:r>
        <w:rPr>
          <w:rFonts w:ascii="Aptos" w:cs="Aptos" w:eastAsia="Aptos" w:hAnsi="Aptos"/>
        </w:rPr>
        <w:t xml:space="preserve">Must every refund go back through the same channel within 10 days, or is a credit acceptable if the customer agrees in advance?</w:t>
      </w:r>
    </w:p>
    <w:p>
      <w:pPr>
        <w:pStyle w:val="ListParagraph"/>
        <w:numPr>
          <w:ilvl w:val="0"/>
          <w:numId w:val="9"/>
        </w:numPr>
        <w:spacing w:after="60" w:before="0"/>
      </w:pPr>
      <w:r>
        <w:rPr>
          <w:rFonts w:ascii="Aptos" w:cs="Aptos" w:eastAsia="Aptos" w:hAnsi="Aptos"/>
        </w:rPr>
        <w:t xml:space="preserve">Do the 48-hour and 5/10-day delivery rules apply to instant digital services, and do the Motion Studio promises satisfy them?</w:t>
      </w:r>
    </w:p>
    <w:p>
      <w:pPr>
        <w:pStyle w:val="ListParagraph"/>
        <w:numPr>
          <w:ilvl w:val="0"/>
          <w:numId w:val="9"/>
        </w:numPr>
        <w:spacing w:after="60" w:before="0"/>
      </w:pPr>
      <w:r>
        <w:rPr>
          <w:rFonts w:ascii="Aptos" w:cs="Aptos" w:eastAsia="Aptos" w:hAnsi="Aptos"/>
        </w:rPr>
        <w:t xml:space="preserve">Is a monthly plan paid at the start a restricted "advance payment"?</w:t>
      </w:r>
    </w:p>
    <w:p>
      <w:pPr>
        <w:pStyle w:val="ListParagraph"/>
        <w:numPr>
          <w:ilvl w:val="0"/>
          <w:numId w:val="9"/>
        </w:numPr>
        <w:spacing w:after="60" w:before="0"/>
      </w:pPr>
      <w:r>
        <w:rPr>
          <w:rFonts w:ascii="Aptos" w:cs="Aptos" w:eastAsia="Aptos" w:hAnsi="Aptos"/>
        </w:rPr>
        <w:t xml:space="preserve">Must consumer terms be in Bangla, and may English prevail? Is the "more favourable version" rule acceptable?</w:t>
      </w:r>
    </w:p>
    <w:p>
      <w:pPr>
        <w:pStyle w:val="ListParagraph"/>
        <w:numPr>
          <w:ilvl w:val="0"/>
          <w:numId w:val="9"/>
        </w:numPr>
        <w:spacing w:after="60" w:before="0"/>
      </w:pPr>
      <w:r>
        <w:rPr>
          <w:rFonts w:ascii="Aptos" w:cs="Aptos" w:eastAsia="Aptos" w:hAnsi="Aptos"/>
        </w:rPr>
        <w:t xml:space="preserve">Is DBID registration required? Does the draft Cross-Border Digital Commerce Policy 2026 affect Paddle sales?</w:t>
      </w:r>
    </w:p>
    <w:p>
      <w:pPr>
        <w:pStyle w:val="ListParagraph"/>
        <w:numPr>
          <w:ilvl w:val="0"/>
          <w:numId w:val="9"/>
        </w:numPr>
        <w:spacing w:after="60" w:before="0"/>
      </w:pPr>
      <w:r>
        <w:rPr>
          <w:rFonts w:ascii="Aptos" w:cs="Aptos" w:eastAsia="Aptos" w:hAnsi="Aptos"/>
        </w:rPr>
        <w:t xml:space="preserve">Are the refund rules in 3.1 lawful, in particular "no refund after 30 days" and "package fee refunded only if no video was made"?</w:t>
      </w:r>
    </w:p>
    <w:p>
      <w:pPr>
        <w:pStyle w:val="ListParagraph"/>
        <w:numPr>
          <w:ilvl w:val="0"/>
          <w:numId w:val="9"/>
        </w:numPr>
        <w:spacing w:after="60" w:before="0"/>
      </w:pPr>
      <w:r>
        <w:rPr>
          <w:rFonts w:ascii="Aptos" w:cs="Aptos" w:eastAsia="Aptos" w:hAnsi="Aptos"/>
        </w:rPr>
        <w:t xml:space="preserve">Which AI marketing statements are risky ("AI teacher", "learning guarantee", "usually much sooner", "Quality Checked")?</w:t>
      </w:r>
    </w:p>
    <w:p>
      <w:pPr>
        <w:pStyle w:val="ListParagraph"/>
        <w:numPr>
          <w:ilvl w:val="0"/>
          <w:numId w:val="9"/>
        </w:numPr>
        <w:spacing w:after="60" w:before="0"/>
      </w:pPr>
      <w:r>
        <w:rPr>
          <w:rFonts w:ascii="Aptos" w:cs="Aptos" w:eastAsia="Aptos" w:hAnsi="Aptos"/>
        </w:rPr>
        <w:t xml:space="preserve">Must the compliance officer be a named employee notified to the DNCRP, and how long must complaint records be kept?</w:t>
      </w:r>
    </w:p>
    <w:p>
      <w:pPr>
        <w:pStyle w:val="Heading2"/>
      </w:pPr>
      <w:r>
        <w:rPr>
          <w:rFonts w:ascii="Aptos" w:cs="Aptos" w:eastAsia="Aptos" w:hAnsi="Aptos"/>
        </w:rPr>
        <w:t xml:space="preserve">3.6 Documents and actions needed</w:t>
      </w:r>
    </w:p>
    <w:p>
      <w:pPr>
        <w:pStyle w:val="ListParagraph"/>
        <w:numPr>
          <w:ilvl w:val="0"/>
          <w:numId w:val="3"/>
        </w:numPr>
        <w:spacing w:after="60" w:before="0"/>
      </w:pPr>
      <w:r>
        <w:rPr>
          <w:rFonts w:ascii="Aptos" w:cs="Aptos" w:eastAsia="Aptos" w:hAnsi="Aptos"/>
        </w:rPr>
        <w:t xml:space="preserve">Refund and subscription terms in Bangla and English; Free Beta terms.</w:t>
      </w:r>
    </w:p>
    <w:p>
      <w:pPr>
        <w:pStyle w:val="ListParagraph"/>
        <w:numPr>
          <w:ilvl w:val="0"/>
          <w:numId w:val="3"/>
        </w:numPr>
        <w:spacing w:after="60" w:before="0"/>
      </w:pPr>
      <w:r>
        <w:rPr>
          <w:rFonts w:ascii="Aptos" w:cs="Aptos" w:eastAsia="Aptos" w:hAnsi="Aptos"/>
        </w:rPr>
        <w:t xml:space="preserve">Seller-identity block; DBID if required; complaint procedure, compliance officer, claims file.</w:t>
      </w:r>
    </w:p>
    <w:p>
      <w:pPr>
        <w:pStyle w:val="Heading1"/>
        <w:pageBreakBefore/>
      </w:pPr>
      <w:r>
        <w:rPr>
          <w:rFonts w:ascii="Aptos" w:cs="Aptos" w:eastAsia="Aptos" w:hAnsi="Aptos"/>
        </w:rPr>
        <w:t xml:space="preserve">4. Tax and VAT</w:t>
      </w:r>
    </w:p>
    <w:p>
      <w:pPr>
        <w:spacing w:after="140" w:before="0" w:line="288"/>
      </w:pPr>
      <w:r>
        <w:rPr>
          <w:rFonts w:ascii="Aptos" w:cs="Aptos" w:eastAsia="Aptos" w:hAnsi="Aptos"/>
        </w:rPr>
        <w:t xml:space="preserve">Covers VAT on Bangladeshi sales, Mushak forms, VAT deducted at source (VDS), reverse-charge VAT on foreign bills, the income-tax exemption for IT-enabled services, withholding tax on payments abroad and Paddle as merchant of record. For the lawyer and the chartered accountant together; the owner has ruled that VAT rates are set by the chartered accountant.</w:t>
      </w:r>
    </w:p>
    <w:p>
      <w:pPr>
        <w:pStyle w:val="Heading2"/>
      </w:pPr>
      <w:r>
        <w:rPr>
          <w:rFonts w:ascii="Aptos" w:cs="Aptos" w:eastAsia="Aptos" w:hAnsi="Aptos"/>
        </w:rPr>
        <w:t xml:space="preserve">4.1 Facts</w:t>
      </w:r>
    </w:p>
    <w:p>
      <w:pPr>
        <w:pStyle w:val="ListParagraph"/>
        <w:numPr>
          <w:ilvl w:val="0"/>
          <w:numId w:val="3"/>
        </w:numPr>
        <w:spacing w:after="60" w:before="0"/>
      </w:pPr>
      <w:r>
        <w:rPr>
          <w:rFonts w:ascii="Aptos" w:cs="Aptos" w:eastAsia="Aptos" w:hAnsi="Aptos"/>
        </w:rPr>
        <w:t xml:space="preserve">Bangladesh prices include VAT. Working position in both blueprints: 15/115 on aamarPay sales; Mushak invoices for business clients; 0% Bangladesh VAT on Paddle sales as an export of services (accountant to confirm). The rate is chosen per product tag in the admin panel.</w:t>
      </w:r>
    </w:p>
    <w:p>
      <w:pPr>
        <w:pStyle w:val="ListParagraph"/>
        <w:numPr>
          <w:ilvl w:val="0"/>
          <w:numId w:val="3"/>
        </w:numPr>
        <w:spacing w:after="60" w:before="0"/>
      </w:pPr>
      <w:r>
        <w:rPr>
          <w:rFonts w:ascii="Aptos" w:cs="Aptos" w:eastAsia="Aptos" w:hAnsi="Aptos"/>
        </w:rPr>
        <w:t xml:space="preserve">Foreign costs: servers, Cloudflare, cloud GPU, APIs, certificates, domains, messaging, stock media, app-store and Paddle fees. Business buyers include schools, agencies and limited companies. The company pays affiliates, resellers, marketplace sellers, counsellors, artists and reviewers.</w:t>
      </w:r>
    </w:p>
    <w:p>
      <w:pPr>
        <w:pStyle w:val="Heading2"/>
      </w:pPr>
      <w:r>
        <w:rPr>
          <w:rFonts w:ascii="Aptos" w:cs="Aptos" w:eastAsia="Aptos" w:hAnsi="Aptos"/>
        </w:rPr>
        <w:t xml:space="preserve">4.2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5"/>
        <w:gridCol w:w="4128"/>
        <w:gridCol w:w="1643"/>
      </w:tblGrid>
      <w:tr>
        <w:trPr>
          <w:cantSplit/>
          <w:tblHeader/>
        </w:trPr>
        <w:tc>
          <w:tcPr>
            <w:tcW w:type="dxa" w:w="353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Point</w:t>
            </w:r>
          </w:p>
        </w:tc>
        <w:tc>
          <w:tcPr>
            <w:tcW w:type="dxa" w:w="412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the research found</w:t>
            </w:r>
          </w:p>
        </w:tc>
        <w:tc>
          <w:tcPr>
            <w:tcW w:type="dxa" w:w="16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5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VAT and SD Act, 2012 — rates (as amended by the Finance Act 2026; Act number unverified)</w:t>
            </w:r>
          </w:p>
        </w:tc>
        <w:tc>
          <w:tcPr>
            <w:tcW w:type="dxa" w:w="41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Standard 15%. IT-enabled services (software, hosting, digital content, animation, data processing) 5% with 5% VDS. "Television and online program producer" 15% VDS (may affect Motion Studio). Online education rate not confirmed (15%, or 5% if ITES). Proposed 0% VAT for qualifying startups to 30 June 2035 not confirmed</w:t>
            </w:r>
          </w:p>
        </w:tc>
        <w:tc>
          <w:tcPr>
            <w:tcW w:type="dxa" w:w="16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 / low</w:t>
            </w:r>
          </w:p>
        </w:tc>
      </w:tr>
      <w:tr>
        <w:trPr>
          <w:cantSplit/>
        </w:trPr>
        <w:tc>
          <w:tcPr>
            <w:tcW w:type="dxa" w:w="35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Registration</w:t>
            </w:r>
          </w:p>
        </w:tc>
        <w:tc>
          <w:tcPr>
            <w:tcW w:type="dxa" w:w="41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Mandatory above Tk 50 lakh turnover; turnover tax 4% between Tk 30 and 50 lakh; exporters must register whatever their turnover; exports of services are zero-rated</w:t>
            </w:r>
          </w:p>
        </w:tc>
        <w:tc>
          <w:tcPr>
            <w:tcW w:type="dxa" w:w="16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5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Reverse charge</w:t>
            </w:r>
          </w:p>
        </w:tc>
        <w:tc>
          <w:tcPr>
            <w:tcW w:type="dxa" w:w="41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 VAT on imported services (servers, cloud); the bank deposits it by a-challan when remitting; input credit where allowed; s.20 rewritten from 1 July 2026. Banks also collect 15% VAT on some card payments for online services</w:t>
            </w:r>
          </w:p>
        </w:tc>
        <w:tc>
          <w:tcPr>
            <w:tcW w:type="dxa" w:w="16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r>
        <w:trPr>
          <w:cantSplit/>
        </w:trPr>
        <w:tc>
          <w:tcPr>
            <w:tcW w:type="dxa" w:w="35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Mushak forms; VDS</w:t>
            </w:r>
          </w:p>
        </w:tc>
        <w:tc>
          <w:tcPr>
            <w:tcW w:type="dxa" w:w="41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6.3 invoice at supply; 6.6 VDS certificate; 6.7/6.8 credit and debit notes; 9.1 monthly return. VDS applies when the buyer is a limited company, bank or educational institution</w:t>
            </w:r>
          </w:p>
        </w:tc>
        <w:tc>
          <w:tcPr>
            <w:tcW w:type="dxa" w:w="16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r>
        <w:trPr>
          <w:cantSplit/>
        </w:trPr>
        <w:tc>
          <w:tcPr>
            <w:tcW w:type="dxa" w:w="35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Income Tax Act, 2023</w:t>
            </w:r>
          </w:p>
        </w:tc>
        <w:tc>
          <w:tcPr>
            <w:tcW w:type="dxa" w:w="41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ITES income, including "Software as a service (SaaS)" and "E-learning platform and e-publication", exempt 1 July 2024 to 30 June 2027, with returns, a yearly certificate and possibly BASIS membership (cashless condition not confirmed); about one tax year of benefit here. Corporate rate 27.5%, or 25% if all transactions go through banks</w:t>
            </w:r>
          </w:p>
        </w:tc>
        <w:tc>
          <w:tcPr>
            <w:tcW w:type="dxa" w:w="16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r>
        <w:trPr>
          <w:cantSplit/>
        </w:trPr>
        <w:tc>
          <w:tcPr>
            <w:tcW w:type="dxa" w:w="35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Withholding on payments abroad (s.163)</w:t>
            </w:r>
          </w:p>
        </w:tc>
        <w:tc>
          <w:tcPr>
            <w:tcW w:type="dxa" w:w="41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Technical services 10%; royalties and software licences 20%; digital marketing 10%; other payments (possibly cloud) 20%; reducible under the US and Netherlands treaties</w:t>
            </w:r>
          </w:p>
        </w:tc>
        <w:tc>
          <w:tcPr>
            <w:tcW w:type="dxa" w:w="16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bl>
    <w:p>
      <w:pPr>
        <w:spacing w:after="120" w:before="0"/>
      </w:pPr>
    </w:p>
    <w:p>
      <w:pPr>
        <w:pStyle w:val="Heading2"/>
      </w:pPr>
      <w:r>
        <w:rPr>
          <w:rFonts w:ascii="Aptos" w:cs="Aptos" w:eastAsia="Aptos" w:hAnsi="Aptos"/>
        </w:rPr>
        <w:t xml:space="preserve">4.3 Our proposed position</w:t>
      </w:r>
    </w:p>
    <w:p>
      <w:pPr>
        <w:pStyle w:val="ListParagraph"/>
        <w:numPr>
          <w:ilvl w:val="0"/>
          <w:numId w:val="10"/>
        </w:numPr>
        <w:spacing w:after="60" w:before="0"/>
      </w:pPr>
      <w:r>
        <w:rPr>
          <w:rFonts w:ascii="Aptos" w:cs="Aptos" w:eastAsia="Aptos" w:hAnsi="Aptos"/>
        </w:rPr>
        <w:t xml:space="preserve">Register for VAT (BIN) right after incorporation, before any sale or export receipt.</w:t>
      </w:r>
    </w:p>
    <w:p>
      <w:pPr>
        <w:pStyle w:val="ListParagraph"/>
        <w:numPr>
          <w:ilvl w:val="0"/>
          <w:numId w:val="10"/>
        </w:numPr>
        <w:spacing w:after="60" w:before="0"/>
      </w:pPr>
      <w:r>
        <w:rPr>
          <w:rFonts w:ascii="Aptos" w:cs="Aptos" w:eastAsia="Aptos" w:hAnsi="Aptos"/>
        </w:rPr>
        <w:t xml:space="preserve">Keep 15% VAT-inclusive pricing until the accountant confirms a lower rate in writing (a lower rate later raises margin; it creates no exposure).</w:t>
      </w:r>
    </w:p>
    <w:p>
      <w:pPr>
        <w:pStyle w:val="ListParagraph"/>
        <w:numPr>
          <w:ilvl w:val="0"/>
          <w:numId w:val="10"/>
        </w:numPr>
        <w:spacing w:after="60" w:before="0"/>
      </w:pPr>
      <w:r>
        <w:rPr>
          <w:rFonts w:ascii="Aptos" w:cs="Aptos" w:eastAsia="Aptos" w:hAnsi="Aptos"/>
        </w:rPr>
        <w:t xml:space="preserve">Mushak-6.3 per sale, 6.7 per refund, monthly return, VDS certificates stored. Time of supply for prepaid amounts follows chapter 2: under Option A each purchase is a supply; for any prepaid plan or pack, VAT at payment unless the accountant confirms otherwise.</w:t>
      </w:r>
    </w:p>
    <w:p>
      <w:pPr>
        <w:pStyle w:val="ListParagraph"/>
        <w:numPr>
          <w:ilvl w:val="0"/>
          <w:numId w:val="10"/>
        </w:numPr>
        <w:spacing w:after="60" w:before="0"/>
      </w:pPr>
      <w:r>
        <w:rPr>
          <w:rFonts w:ascii="Aptos" w:cs="Aptos" w:eastAsia="Aptos" w:hAnsi="Aptos"/>
        </w:rPr>
        <w:t xml:space="preserve">Foreign bills paid through one AD bank deducting reverse-charge VAT and withholding; budget assumes no gross-up; treaty rates where possible.</w:t>
      </w:r>
    </w:p>
    <w:p>
      <w:pPr>
        <w:pStyle w:val="ListParagraph"/>
        <w:numPr>
          <w:ilvl w:val="0"/>
          <w:numId w:val="10"/>
        </w:numPr>
        <w:spacing w:after="60" w:before="0"/>
      </w:pPr>
      <w:r>
        <w:rPr>
          <w:rFonts w:ascii="Aptos" w:cs="Aptos" w:eastAsia="Aptos" w:hAnsi="Aptos"/>
        </w:rPr>
        <w:t xml:space="preserve">Apply for the ITES exemption (and BASIS membership if required); bank channels only, for the 25% rate; plan for the exemption ending 30 June 2027.</w:t>
      </w:r>
    </w:p>
    <w:p>
      <w:pPr>
        <w:pStyle w:val="ListParagraph"/>
        <w:numPr>
          <w:ilvl w:val="0"/>
          <w:numId w:val="10"/>
        </w:numPr>
        <w:spacing w:after="60" w:before="0"/>
      </w:pPr>
      <w:r>
        <w:rPr>
          <w:rFonts w:ascii="Aptos" w:cs="Aptos" w:eastAsia="Aptos" w:hAnsi="Aptos"/>
        </w:rPr>
        <w:t xml:space="preserve">Paddle: Paddle sells to the foreign customer as merchant of record; RemonLogic's supply to Paddle is treated as a zero-rated export, repatriated through the bank (chapter 5) [lawyer to confirm].</w:t>
      </w:r>
    </w:p>
    <w:p>
      <w:pPr>
        <w:pStyle w:val="ListParagraph"/>
        <w:numPr>
          <w:ilvl w:val="0"/>
          <w:numId w:val="10"/>
        </w:numPr>
        <w:spacing w:after="60" w:before="0"/>
      </w:pPr>
      <w:r>
        <w:rPr>
          <w:rFonts w:ascii="Aptos" w:cs="Aptos" w:eastAsia="Aptos" w:hAnsi="Aptos"/>
        </w:rPr>
        <w:t xml:space="preserve">Before Paddle, aamarPay card sales make RemonLogic the seller to foreign consumers; EU and UK consumer sales may create VAT duties there from the first sale (general knowledge) [international lawyer to confirm]. EU and UK billing addresses are blocked until Paddle (default, editable).</w:t>
      </w:r>
    </w:p>
    <w:p>
      <w:pPr>
        <w:pStyle w:val="Heading2"/>
      </w:pPr>
      <w:r>
        <w:rPr>
          <w:rFonts w:ascii="Aptos" w:cs="Aptos" w:eastAsia="Aptos" w:hAnsi="Aptos"/>
        </w:rPr>
        <w:t xml:space="preserve">4.4 Risks if wrong</w:t>
      </w:r>
    </w:p>
    <w:p>
      <w:pPr>
        <w:pStyle w:val="ListParagraph"/>
        <w:numPr>
          <w:ilvl w:val="0"/>
          <w:numId w:val="3"/>
        </w:numPr>
        <w:spacing w:after="60" w:before="0"/>
      </w:pPr>
      <w:r>
        <w:rPr>
          <w:rFonts w:ascii="Aptos" w:cs="Aptos" w:eastAsia="Aptos" w:hAnsi="Aptos"/>
        </w:rPr>
        <w:t xml:space="preserve">Underpaid VAT with interest and penalties on every sale; lost zero rating without a BIN; refused remittances and disallowed costs; 25–27.5% tax if the ITES exemption is lost; foreign VAT on direct card sales.</w:t>
      </w:r>
    </w:p>
    <w:p>
      <w:pPr>
        <w:pStyle w:val="Heading2"/>
      </w:pPr>
      <w:r>
        <w:rPr>
          <w:rFonts w:ascii="Aptos" w:cs="Aptos" w:eastAsia="Aptos" w:hAnsi="Aptos"/>
        </w:rPr>
        <w:t xml:space="preserve">4.5 Questions for the lawyer and accountant</w:t>
      </w:r>
    </w:p>
    <w:p>
      <w:pPr>
        <w:pStyle w:val="ListParagraph"/>
        <w:numPr>
          <w:ilvl w:val="0"/>
          <w:numId w:val="11"/>
        </w:numPr>
        <w:spacing w:after="60" w:before="0"/>
      </w:pPr>
      <w:r>
        <w:rPr>
          <w:rFonts w:ascii="Aptos" w:cs="Aptos" w:eastAsia="Aptos" w:hAnsi="Aptos"/>
        </w:rPr>
        <w:t xml:space="preserve">Which VAT rate applies to NexaTute tutoring, PlayBoom, Motion Studio video and voice-over, and NexaLogicDev? Is anything exempt?</w:t>
      </w:r>
    </w:p>
    <w:p>
      <w:pPr>
        <w:pStyle w:val="ListParagraph"/>
        <w:numPr>
          <w:ilvl w:val="0"/>
          <w:numId w:val="11"/>
        </w:numPr>
        <w:spacing w:after="60" w:before="0"/>
      </w:pPr>
      <w:r>
        <w:rPr>
          <w:rFonts w:ascii="Aptos" w:cs="Aptos" w:eastAsia="Aptos" w:hAnsi="Aptos"/>
        </w:rPr>
        <w:t xml:space="preserve">Is the 0% startup VAT enacted, and can the company qualify from incorporation?</w:t>
      </w:r>
    </w:p>
    <w:p>
      <w:pPr>
        <w:pStyle w:val="ListParagraph"/>
        <w:numPr>
          <w:ilvl w:val="0"/>
          <w:numId w:val="11"/>
        </w:numPr>
        <w:spacing w:after="60" w:before="0"/>
      </w:pPr>
      <w:r>
        <w:rPr>
          <w:rFonts w:ascii="Aptos" w:cs="Aptos" w:eastAsia="Aptos" w:hAnsi="Aptos"/>
        </w:rPr>
        <w:t xml:space="preserve">When is VAT due on a monthly plan, a prepaid pack, a storyboard approval and a refund?</w:t>
      </w:r>
    </w:p>
    <w:p>
      <w:pPr>
        <w:pStyle w:val="ListParagraph"/>
        <w:numPr>
          <w:ilvl w:val="0"/>
          <w:numId w:val="11"/>
        </w:numPr>
        <w:spacing w:after="60" w:before="0"/>
      </w:pPr>
      <w:r>
        <w:rPr>
          <w:rFonts w:ascii="Aptos" w:cs="Aptos" w:eastAsia="Aptos" w:hAnsi="Aptos"/>
        </w:rPr>
        <w:t xml:space="preserve">Is a Paddle payout a zero-rated export? Which services are imported for the reverse charge (including app-store and Paddle fees)?</w:t>
      </w:r>
    </w:p>
    <w:p>
      <w:pPr>
        <w:pStyle w:val="ListParagraph"/>
        <w:numPr>
          <w:ilvl w:val="0"/>
          <w:numId w:val="11"/>
        </w:numPr>
        <w:spacing w:after="60" w:before="0"/>
      </w:pPr>
      <w:r>
        <w:rPr>
          <w:rFonts w:ascii="Aptos" w:cs="Aptos" w:eastAsia="Aptos" w:hAnsi="Aptos"/>
        </w:rPr>
        <w:t xml:space="preserve">Can the company claim the ITES exemption for FY2026-27; are BASIS membership and a cashless condition required?</w:t>
      </w:r>
    </w:p>
    <w:p>
      <w:pPr>
        <w:pStyle w:val="ListParagraph"/>
        <w:numPr>
          <w:ilvl w:val="0"/>
          <w:numId w:val="11"/>
        </w:numPr>
        <w:spacing w:after="60" w:before="0"/>
      </w:pPr>
      <w:r>
        <w:rPr>
          <w:rFonts w:ascii="Aptos" w:cs="Aptos" w:eastAsia="Aptos" w:hAnsi="Aptos"/>
        </w:rPr>
        <w:t xml:space="preserve">How are cloud, GPU rental and API bills classified for withholding (10%, 20% or treaty)?</w:t>
      </w:r>
    </w:p>
    <w:p>
      <w:pPr>
        <w:pStyle w:val="ListParagraph"/>
        <w:numPr>
          <w:ilvl w:val="0"/>
          <w:numId w:val="11"/>
        </w:numPr>
        <w:spacing w:after="60" w:before="0"/>
      </w:pPr>
      <w:r>
        <w:rPr>
          <w:rFonts w:ascii="Aptos" w:cs="Aptos" w:eastAsia="Aptos" w:hAnsi="Aptos"/>
        </w:rPr>
        <w:t xml:space="preserve">What withholding applies to partners and contractors, and how long must records be kept (blueprints assume 7 years)?</w:t>
      </w:r>
    </w:p>
    <w:p>
      <w:pPr>
        <w:pStyle w:val="Heading2"/>
      </w:pPr>
      <w:r>
        <w:rPr>
          <w:rFonts w:ascii="Aptos" w:cs="Aptos" w:eastAsia="Aptos" w:hAnsi="Aptos"/>
        </w:rPr>
        <w:t xml:space="preserve">4.6 Documents and actions needed</w:t>
      </w:r>
    </w:p>
    <w:p>
      <w:pPr>
        <w:pStyle w:val="ListParagraph"/>
        <w:numPr>
          <w:ilvl w:val="0"/>
          <w:numId w:val="3"/>
        </w:numPr>
        <w:spacing w:after="60" w:before="0"/>
      </w:pPr>
      <w:r>
        <w:rPr>
          <w:rFonts w:ascii="Aptos" w:cs="Aptos" w:eastAsia="Aptos" w:hAnsi="Aptos"/>
        </w:rPr>
        <w:t xml:space="preserve">BIN, TIN, signed VAT rate memo, Mushak flow in billing, supplier tax register, ITES exemption and startup applications, billing-address rule before Paddle.</w:t>
      </w:r>
    </w:p>
    <w:p>
      <w:pPr>
        <w:pStyle w:val="Heading1"/>
        <w:pageBreakBefore/>
      </w:pPr>
      <w:r>
        <w:rPr>
          <w:rFonts w:ascii="Aptos" w:cs="Aptos" w:eastAsia="Aptos" w:hAnsi="Aptos"/>
        </w:rPr>
        <w:t xml:space="preserve">5. Foreign Exchange</w:t>
      </w:r>
    </w:p>
    <w:p>
      <w:pPr>
        <w:spacing w:after="140" w:before="0" w:line="288"/>
      </w:pPr>
      <w:r>
        <w:rPr>
          <w:rFonts w:ascii="Aptos" w:cs="Aptos" w:eastAsia="Aptos" w:hAnsi="Aptos"/>
        </w:rPr>
        <w:t xml:space="preserve">Covers money received from foreign customers (aamarPay international cards now, Paddle later), payments for foreign servers and software, and the foreign-exchange side of the USA LLC question.</w:t>
      </w:r>
    </w:p>
    <w:p>
      <w:pPr>
        <w:pStyle w:val="Heading2"/>
      </w:pPr>
      <w:r>
        <w:rPr>
          <w:rFonts w:ascii="Aptos" w:cs="Aptos" w:eastAsia="Aptos" w:hAnsi="Aptos"/>
        </w:rPr>
        <w:t xml:space="preserve">5.1 Facts</w:t>
      </w:r>
    </w:p>
    <w:p>
      <w:pPr>
        <w:pStyle w:val="ListParagraph"/>
        <w:numPr>
          <w:ilvl w:val="0"/>
          <w:numId w:val="3"/>
        </w:numPr>
        <w:spacing w:after="60" w:before="0"/>
      </w:pPr>
      <w:r>
        <w:rPr>
          <w:rFonts w:ascii="Aptos" w:cs="Aptos" w:eastAsia="Aptos" w:hAnsi="Aptos"/>
        </w:rPr>
        <w:t xml:space="preserve">Foreign customers pay through aamarPay international cards now and through Paddle later (USD, EUR, GBP; INR, PKR, AED and SAR prices approved). Paddle's payout method to Bangladesh is not confirmed.</w:t>
      </w:r>
    </w:p>
    <w:p>
      <w:pPr>
        <w:pStyle w:val="ListParagraph"/>
        <w:numPr>
          <w:ilvl w:val="0"/>
          <w:numId w:val="3"/>
        </w:numPr>
        <w:spacing w:after="60" w:before="0"/>
      </w:pPr>
      <w:r>
        <w:rPr>
          <w:rFonts w:ascii="Aptos" w:cs="Aptos" w:eastAsia="Aptos" w:hAnsi="Aptos"/>
        </w:rPr>
        <w:t xml:space="preserve">Recurring foreign costs: US servers, a possible Dutch GPU server, Cloudflare, cloud GPU, AI APIs (NexaLogicDev), the C2PA certificate, domains, email, SMS, stock media, Paddle fees.</w:t>
      </w:r>
    </w:p>
    <w:p>
      <w:pPr>
        <w:pStyle w:val="ListParagraph"/>
        <w:numPr>
          <w:ilvl w:val="0"/>
          <w:numId w:val="3"/>
        </w:numPr>
        <w:spacing w:after="60" w:before="0"/>
      </w:pPr>
      <w:r>
        <w:rPr>
          <w:rFonts w:ascii="Aptos" w:cs="Aptos" w:eastAsia="Aptos" w:hAnsi="Aptos"/>
        </w:rPr>
        <w:t xml:space="preserve">Accounting books each transaction at that day's actual rate with source and timestamp.</w:t>
      </w:r>
    </w:p>
    <w:p>
      <w:pPr>
        <w:pStyle w:val="ListParagraph"/>
        <w:numPr>
          <w:ilvl w:val="0"/>
          <w:numId w:val="3"/>
        </w:numPr>
        <w:spacing w:after="60" w:before="0"/>
      </w:pPr>
      <w:r>
        <w:rPr>
          <w:rFonts w:ascii="Aptos" w:cs="Aptos" w:eastAsia="Aptos" w:hAnsi="Aptos"/>
        </w:rPr>
        <w:t xml:space="preserve">The LLC plan said the LLC would be "funded and paid from the USA; no money is sent from Bangladesh"; the funding source is not stated [to insert]. Some pre-incorporation bills may have been paid by personal card [to insert].</w:t>
      </w:r>
    </w:p>
    <w:p>
      <w:pPr>
        <w:pStyle w:val="Heading2"/>
      </w:pPr>
      <w:r>
        <w:rPr>
          <w:rFonts w:ascii="Aptos" w:cs="Aptos" w:eastAsia="Aptos" w:hAnsi="Aptos"/>
        </w:rPr>
        <w:t xml:space="preserve">5.2 Applicable law</w:t>
      </w:r>
    </w:p>
    <w:p>
      <w:pPr>
        <w:spacing w:after="140" w:before="0" w:line="288"/>
      </w:pPr>
      <w:r>
        <w:rPr>
          <w:rFonts w:ascii="Aptos" w:cs="Aptos" w:eastAsia="Aptos" w:hAnsi="Aptos"/>
        </w:rPr>
        <w:t xml:space="preserve">Foreign Exchange Regulation Act, 1947, Bangladesh Bank's Guidelines for Foreign Exchange Transactions, and: FEPD-1 Circular No. 40 (30 September 2026; master circular on outward current-account remittances, valid 1 year); FEPD-1 Circular No. 22 (22 July 2026; freelancers and individual exporters); FE Circular No. 31 (31 July 2025; OPGSP, MFS and PSP channels and ERQ). Confidence high on the circulars' text, medium on their application to Paddle.</w:t>
      </w:r>
    </w:p>
    <w:p>
      <w:pPr>
        <w:pStyle w:val="ListParagraph"/>
        <w:numPr>
          <w:ilvl w:val="0"/>
          <w:numId w:val="3"/>
        </w:numPr>
        <w:spacing w:after="60" w:before="0"/>
      </w:pPr>
      <w:r>
        <w:rPr>
          <w:rFonts w:ascii="Aptos" w:cs="Aptos" w:eastAsia="Aptos" w:hAnsi="Aptos"/>
        </w:rPr>
        <w:t xml:space="preserve">Service-export proceeds must be repatriated within the goods-export time limits; keeping proceeds abroad in any form breaches the Act, except approved notional or merchant accounts.</w:t>
      </w:r>
    </w:p>
    <w:p>
      <w:pPr>
        <w:pStyle w:val="ListParagraph"/>
        <w:numPr>
          <w:ilvl w:val="0"/>
          <w:numId w:val="3"/>
        </w:numPr>
        <w:spacing w:after="60" w:before="0"/>
      </w:pPr>
      <w:r>
        <w:rPr>
          <w:rFonts w:ascii="Aptos" w:cs="Aptos" w:eastAsia="Aptos" w:hAnsi="Aptos"/>
        </w:rPr>
        <w:t xml:space="preserve">Inward remittances above USD 20,000 need an online Form-C. Approved OPGSPs may carry small proceeds (up to USD 10,000 per transaction).</w:t>
      </w:r>
    </w:p>
    <w:p>
      <w:pPr>
        <w:pStyle w:val="ListParagraph"/>
        <w:numPr>
          <w:ilvl w:val="0"/>
          <w:numId w:val="3"/>
        </w:numPr>
        <w:spacing w:after="60" w:before="0"/>
      </w:pPr>
      <w:r>
        <w:rPr>
          <w:rFonts w:ascii="Aptos" w:cs="Aptos" w:eastAsia="Aptos" w:hAnsi="Aptos"/>
        </w:rPr>
        <w:t xml:space="preserve">ERQ: up to 50% of net software and ICT earnings may be kept in foreign currency and used for software, domain, hosting and server costs.</w:t>
      </w:r>
    </w:p>
    <w:p>
      <w:pPr>
        <w:pStyle w:val="ListParagraph"/>
        <w:numPr>
          <w:ilvl w:val="0"/>
          <w:numId w:val="3"/>
        </w:numPr>
        <w:spacing w:after="60" w:before="0"/>
      </w:pPr>
      <w:r>
        <w:rPr>
          <w:rFonts w:ascii="Aptos" w:cs="Aptos" w:eastAsia="Aptos" w:hAnsi="Aptos"/>
        </w:rPr>
        <w:t xml:space="preserve">Circular 40, Part-E paragraph 11: banks may remit cloud, IT infrastructure, software support and remote-application fees with no stated annual cap if there is a licensed product and valid agreement, an invoice per payment, an undertaking to use one bank and bring funds back if the service is not received, tax and VAT at source, and for later payments a certificate of satisfactory use.</w:t>
      </w:r>
    </w:p>
    <w:p>
      <w:pPr>
        <w:pStyle w:val="ListParagraph"/>
        <w:numPr>
          <w:ilvl w:val="0"/>
          <w:numId w:val="3"/>
        </w:numPr>
        <w:spacing w:after="60" w:before="0"/>
      </w:pPr>
      <w:r>
        <w:rPr>
          <w:rFonts w:ascii="Aptos" w:cs="Aptos" w:eastAsia="Aptos" w:hAnsi="Aptos"/>
        </w:rPr>
        <w:t xml:space="preserve">Individuals' virtual cards are capped at USD 500 a year. Corporate card rules (Part-J) were not read. Residents owning a foreign company was not researched [lawyer to confirm].</w:t>
      </w:r>
    </w:p>
    <w:p>
      <w:pPr>
        <w:pStyle w:val="Heading2"/>
      </w:pPr>
      <w:r>
        <w:rPr>
          <w:rFonts w:ascii="Aptos" w:cs="Aptos" w:eastAsia="Aptos" w:hAnsi="Aptos"/>
        </w:rPr>
        <w:t xml:space="preserve">5.3 Our proposed position</w:t>
      </w:r>
    </w:p>
    <w:p>
      <w:pPr>
        <w:pStyle w:val="ListParagraph"/>
        <w:numPr>
          <w:ilvl w:val="0"/>
          <w:numId w:val="12"/>
        </w:numPr>
        <w:spacing w:after="60" w:before="0"/>
      </w:pPr>
      <w:r>
        <w:rPr>
          <w:rFonts w:ascii="Aptos" w:cs="Aptos" w:eastAsia="Aptos" w:hAnsi="Aptos"/>
        </w:rPr>
        <w:t xml:space="preserve">One authorised dealer bank for the company, for export receipts and outward remittances; ERQ account opened.</w:t>
      </w:r>
    </w:p>
    <w:p>
      <w:pPr>
        <w:pStyle w:val="ListParagraph"/>
        <w:numPr>
          <w:ilvl w:val="0"/>
          <w:numId w:val="12"/>
        </w:numPr>
        <w:spacing w:after="60" w:before="0"/>
      </w:pPr>
      <w:r>
        <w:rPr>
          <w:rFonts w:ascii="Aptos" w:cs="Aptos" w:eastAsia="Aptos" w:hAnsi="Aptos"/>
        </w:rPr>
        <w:t xml:space="preserve">Paddle payouts go straight to the company account as export receipts, with Form-C where required; no Paddle balance is kept beyond its normal payout cycle [lawyer to confirm this is not "keeping proceeds abroad"].</w:t>
      </w:r>
    </w:p>
    <w:p>
      <w:pPr>
        <w:pStyle w:val="ListParagraph"/>
        <w:numPr>
          <w:ilvl w:val="0"/>
          <w:numId w:val="12"/>
        </w:numPr>
        <w:spacing w:after="60" w:before="0"/>
      </w:pPr>
      <w:r>
        <w:rPr>
          <w:rFonts w:ascii="Aptos" w:cs="Aptos" w:eastAsia="Aptos" w:hAnsi="Aptos"/>
        </w:rPr>
        <w:t xml:space="preserve">Foreign suppliers: agreement in the company's name (online terms saved as PDF), invoice per payment, Circular 40 undertaking; bank deducts VAT and tax.</w:t>
      </w:r>
    </w:p>
    <w:p>
      <w:pPr>
        <w:pStyle w:val="ListParagraph"/>
        <w:numPr>
          <w:ilvl w:val="0"/>
          <w:numId w:val="12"/>
        </w:numPr>
        <w:spacing w:after="60" w:before="0"/>
      </w:pPr>
      <w:r>
        <w:rPr>
          <w:rFonts w:ascii="Aptos" w:cs="Aptos" w:eastAsia="Aptos" w:hAnsi="Aptos"/>
        </w:rPr>
        <w:t xml:space="preserve">No company bill paid from personal cards after incorporation; earlier personal payments recorded and reimbursed only as the accountant and bank allow.</w:t>
      </w:r>
    </w:p>
    <w:p>
      <w:pPr>
        <w:pStyle w:val="ListParagraph"/>
        <w:numPr>
          <w:ilvl w:val="0"/>
          <w:numId w:val="12"/>
        </w:numPr>
        <w:spacing w:after="60" w:before="0"/>
      </w:pPr>
      <w:r>
        <w:rPr>
          <w:rFonts w:ascii="Aptos" w:cs="Aptos" w:eastAsia="Aptos" w:hAnsi="Aptos"/>
        </w:rPr>
        <w:t xml:space="preserve">No USA LLC formed or funded until the lawyer's FX opinion (chapter 1).</w:t>
      </w:r>
    </w:p>
    <w:p>
      <w:pPr>
        <w:pStyle w:val="Heading2"/>
      </w:pPr>
      <w:r>
        <w:rPr>
          <w:rFonts w:ascii="Aptos" w:cs="Aptos" w:eastAsia="Aptos" w:hAnsi="Aptos"/>
        </w:rPr>
        <w:t xml:space="preserve">5.4 Risks if wrong</w:t>
      </w:r>
    </w:p>
    <w:p>
      <w:pPr>
        <w:pStyle w:val="ListParagraph"/>
        <w:numPr>
          <w:ilvl w:val="0"/>
          <w:numId w:val="3"/>
        </w:numPr>
        <w:spacing w:after="60" w:before="0"/>
      </w:pPr>
      <w:r>
        <w:rPr>
          <w:rFonts w:ascii="Aptos" w:cs="Aptos" w:eastAsia="Aptos" w:hAnsi="Aptos"/>
        </w:rPr>
        <w:t xml:space="preserve">Proceeds kept abroad or repatriated late: breach of the Act, penalties, refused remittances.</w:t>
      </w:r>
    </w:p>
    <w:p>
      <w:pPr>
        <w:pStyle w:val="ListParagraph"/>
        <w:numPr>
          <w:ilvl w:val="0"/>
          <w:numId w:val="3"/>
        </w:numPr>
        <w:spacing w:after="60" w:before="0"/>
      </w:pPr>
      <w:r>
        <w:rPr>
          <w:rFonts w:ascii="Aptos" w:cs="Aptos" w:eastAsia="Aptos" w:hAnsi="Aptos"/>
        </w:rPr>
        <w:t xml:space="preserve">Foreign bills not meeting Circular 40: remittance refused; servers cut off for non-payment.</w:t>
      </w:r>
    </w:p>
    <w:p>
      <w:pPr>
        <w:pStyle w:val="ListParagraph"/>
        <w:numPr>
          <w:ilvl w:val="0"/>
          <w:numId w:val="3"/>
        </w:numPr>
        <w:spacing w:after="60" w:before="0"/>
      </w:pPr>
      <w:r>
        <w:rPr>
          <w:rFonts w:ascii="Aptos" w:cs="Aptos" w:eastAsia="Aptos" w:hAnsi="Aptos"/>
        </w:rPr>
        <w:t xml:space="preserve">Personal cards: USD 500 cap exceeded; costs not deductible.</w:t>
      </w:r>
    </w:p>
    <w:p>
      <w:pPr>
        <w:pStyle w:val="ListParagraph"/>
        <w:numPr>
          <w:ilvl w:val="0"/>
          <w:numId w:val="3"/>
        </w:numPr>
        <w:spacing w:after="60" w:before="0"/>
      </w:pPr>
      <w:r>
        <w:rPr>
          <w:rFonts w:ascii="Aptos" w:cs="Aptos" w:eastAsia="Aptos" w:hAnsi="Aptos"/>
        </w:rPr>
        <w:t xml:space="preserve">LLC without approval: FX breach; its receipts treated as proceeds kept abroad.</w:t>
      </w:r>
    </w:p>
    <w:p>
      <w:pPr>
        <w:pStyle w:val="Heading2"/>
      </w:pPr>
      <w:r>
        <w:rPr>
          <w:rFonts w:ascii="Aptos" w:cs="Aptos" w:eastAsia="Aptos" w:hAnsi="Aptos"/>
        </w:rPr>
        <w:t xml:space="preserve">5.5 Questions for the lawyer</w:t>
      </w:r>
    </w:p>
    <w:p>
      <w:pPr>
        <w:pStyle w:val="ListParagraph"/>
        <w:numPr>
          <w:ilvl w:val="0"/>
          <w:numId w:val="13"/>
        </w:numPr>
        <w:spacing w:after="60" w:before="0"/>
      </w:pPr>
      <w:r>
        <w:rPr>
          <w:rFonts w:ascii="Aptos" w:cs="Aptos" w:eastAsia="Aptos" w:hAnsi="Aptos"/>
        </w:rPr>
        <w:t xml:space="preserve">How are Paddle payouts documented and repatriated, and is a Paddle balance awaiting payout "kept abroad"?</w:t>
      </w:r>
    </w:p>
    <w:p>
      <w:pPr>
        <w:pStyle w:val="ListParagraph"/>
        <w:numPr>
          <w:ilvl w:val="0"/>
          <w:numId w:val="13"/>
        </w:numPr>
        <w:spacing w:after="60" w:before="0"/>
      </w:pPr>
      <w:r>
        <w:rPr>
          <w:rFonts w:ascii="Aptos" w:cs="Aptos" w:eastAsia="Aptos" w:hAnsi="Aptos"/>
        </w:rPr>
        <w:t xml:space="preserve">May the ERQ account pay servers, Cloudflare and APIs directly, including by corporate card? What Part-J limits apply to a new company?</w:t>
      </w:r>
    </w:p>
    <w:p>
      <w:pPr>
        <w:pStyle w:val="ListParagraph"/>
        <w:numPr>
          <w:ilvl w:val="0"/>
          <w:numId w:val="13"/>
        </w:numPr>
        <w:spacing w:after="60" w:before="0"/>
      </w:pPr>
      <w:r>
        <w:rPr>
          <w:rFonts w:ascii="Aptos" w:cs="Aptos" w:eastAsia="Aptos" w:hAnsi="Aptos"/>
        </w:rPr>
        <w:t xml:space="preserve">Is a certificate of satisfactory use needed every month for recurring cloud bills?</w:t>
      </w:r>
    </w:p>
    <w:p>
      <w:pPr>
        <w:pStyle w:val="ListParagraph"/>
        <w:numPr>
          <w:ilvl w:val="0"/>
          <w:numId w:val="13"/>
        </w:numPr>
        <w:spacing w:after="60" w:before="0"/>
      </w:pPr>
      <w:r>
        <w:rPr>
          <w:rFonts w:ascii="Aptos" w:cs="Aptos" w:eastAsia="Aptos" w:hAnsi="Aptos"/>
        </w:rPr>
        <w:t xml:space="preserve">Do the founders need Bangladesh Bank approval to own a USA LLC, and may it keep receipts abroad?</w:t>
      </w:r>
    </w:p>
    <w:p>
      <w:pPr>
        <w:pStyle w:val="ListParagraph"/>
        <w:numPr>
          <w:ilvl w:val="0"/>
          <w:numId w:val="13"/>
        </w:numPr>
        <w:spacing w:after="60" w:before="0"/>
      </w:pPr>
      <w:r>
        <w:rPr>
          <w:rFonts w:ascii="Aptos" w:cs="Aptos" w:eastAsia="Aptos" w:hAnsi="Aptos"/>
        </w:rPr>
        <w:t xml:space="preserve">How should pre-incorporation bills paid personally be handled?</w:t>
      </w:r>
    </w:p>
    <w:p>
      <w:pPr>
        <w:pStyle w:val="ListParagraph"/>
        <w:numPr>
          <w:ilvl w:val="0"/>
          <w:numId w:val="13"/>
        </w:numPr>
        <w:spacing w:after="60" w:before="0"/>
      </w:pPr>
      <w:r>
        <w:rPr>
          <w:rFonts w:ascii="Aptos" w:cs="Aptos" w:eastAsia="Aptos" w:hAnsi="Aptos"/>
        </w:rPr>
        <w:t xml:space="preserve">Is an export cash incentive available for IT-enabled service exports?</w:t>
      </w:r>
    </w:p>
    <w:p>
      <w:pPr>
        <w:pStyle w:val="Heading2"/>
      </w:pPr>
      <w:r>
        <w:rPr>
          <w:rFonts w:ascii="Aptos" w:cs="Aptos" w:eastAsia="Aptos" w:hAnsi="Aptos"/>
        </w:rPr>
        <w:t xml:space="preserve">5.6 Documents and actions needed</w:t>
      </w:r>
    </w:p>
    <w:p>
      <w:pPr>
        <w:pStyle w:val="ListParagraph"/>
        <w:numPr>
          <w:ilvl w:val="0"/>
          <w:numId w:val="3"/>
        </w:numPr>
        <w:spacing w:after="60" w:before="0"/>
      </w:pPr>
      <w:r>
        <w:rPr>
          <w:rFonts w:ascii="Aptos" w:cs="Aptos" w:eastAsia="Aptos" w:hAnsi="Aptos"/>
        </w:rPr>
        <w:t xml:space="preserve">Company bank account with an AD bank; ERQ account; Circular 40 undertaking.</w:t>
      </w:r>
    </w:p>
    <w:p>
      <w:pPr>
        <w:pStyle w:val="ListParagraph"/>
        <w:numPr>
          <w:ilvl w:val="0"/>
          <w:numId w:val="3"/>
        </w:numPr>
        <w:spacing w:after="60" w:before="0"/>
      </w:pPr>
      <w:r>
        <w:rPr>
          <w:rFonts w:ascii="Aptos" w:cs="Aptos" w:eastAsia="Aptos" w:hAnsi="Aptos"/>
        </w:rPr>
        <w:t xml:space="preserve">Supplier agreements and invoices in the company's name.</w:t>
      </w:r>
    </w:p>
    <w:p>
      <w:pPr>
        <w:pStyle w:val="ListParagraph"/>
        <w:numPr>
          <w:ilvl w:val="0"/>
          <w:numId w:val="3"/>
        </w:numPr>
        <w:spacing w:after="60" w:before="0"/>
      </w:pPr>
      <w:r>
        <w:rPr>
          <w:rFonts w:ascii="Aptos" w:cs="Aptos" w:eastAsia="Aptos" w:hAnsi="Aptos"/>
        </w:rPr>
        <w:t xml:space="preserve">Paddle payout set-up to the company account.</w:t>
      </w:r>
    </w:p>
    <w:p>
      <w:pPr>
        <w:pStyle w:val="ListParagraph"/>
        <w:numPr>
          <w:ilvl w:val="0"/>
          <w:numId w:val="3"/>
        </w:numPr>
        <w:spacing w:after="60" w:before="0"/>
      </w:pPr>
      <w:r>
        <w:rPr>
          <w:rFonts w:ascii="Aptos" w:cs="Aptos" w:eastAsia="Aptos" w:hAnsi="Aptos"/>
        </w:rPr>
        <w:t xml:space="preserve">Lawyer's opinion on the USA LLC before any is formed.</w:t>
      </w:r>
    </w:p>
    <w:p>
      <w:pPr>
        <w:pStyle w:val="Heading1"/>
        <w:pageBreakBefore/>
      </w:pPr>
      <w:r>
        <w:rPr>
          <w:rFonts w:ascii="Aptos" w:cs="Aptos" w:eastAsia="Aptos" w:hAnsi="Aptos"/>
        </w:rPr>
        <w:t xml:space="preserve">6. Data Protection — Bangladesh</w:t>
      </w:r>
    </w:p>
    <w:p>
      <w:pPr>
        <w:spacing w:after="140" w:before="0" w:line="288"/>
      </w:pPr>
      <w:r>
        <w:rPr>
          <w:rFonts w:ascii="Aptos" w:cs="Aptos" w:eastAsia="Aptos" w:hAnsi="Aptos"/>
        </w:rPr>
        <w:t xml:space="preserve">Covers the Bangladesh data law for both products: consent, children, biometric data, transfers, relocation orders, rights and breaches (children's product rules in chapter 8; EU, UK and US in chapter 7).</w:t>
      </w:r>
    </w:p>
    <w:p>
      <w:pPr>
        <w:pStyle w:val="Heading2"/>
      </w:pPr>
      <w:r>
        <w:rPr>
          <w:rFonts w:ascii="Aptos" w:cs="Aptos" w:eastAsia="Aptos" w:hAnsi="Aptos"/>
        </w:rPr>
        <w:t xml:space="preserve">6.1 Facts</w:t>
      </w:r>
    </w:p>
    <w:p>
      <w:pPr>
        <w:pStyle w:val="ListParagraph"/>
        <w:numPr>
          <w:ilvl w:val="0"/>
          <w:numId w:val="3"/>
        </w:numPr>
        <w:spacing w:after="60" w:before="0"/>
      </w:pPr>
      <w:r>
        <w:rPr>
          <w:rFonts w:ascii="Aptos" w:cs="Aptos" w:eastAsia="Aptos" w:hAnsi="Aptos"/>
        </w:rPr>
        <w:t xml:space="preserve">Servers in the USA, possibly a GPU server in the Netherlands; Cloudflare R2 and CDN. Processors: hosting, Cloudflare, email, SMS, IVR, aamarPay, Paddle, app stores; outside AI APIs for NexaLogicDev only. Learner data and children's sessions never go to outside AI; spot cloud GPU never receives voice samples or personal data.</w:t>
      </w:r>
    </w:p>
    <w:p>
      <w:pPr>
        <w:pStyle w:val="ListParagraph"/>
        <w:numPr>
          <w:ilvl w:val="0"/>
          <w:numId w:val="3"/>
        </w:numPr>
        <w:spacing w:after="60" w:before="0"/>
      </w:pPr>
      <w:r>
        <w:rPr>
          <w:rFonts w:ascii="Aptos" w:cs="Aptos" w:eastAsia="Aptos" w:hAnsi="Aptos"/>
        </w:rPr>
        <w:t xml:space="preserve">Data held: identity and guardian phone; learning records, recordings by choice, handwriting photos; engagement-intelligence logs (answer time, pauses, interest map, drop-out prediction); NexaTute face templates; Motion Studio voice samples, voice models, twin videos and consent recordings (separate encrypted store, no staff playback); client uploads and clients' customer lists; payment records (no card numbers).</w:t>
      </w:r>
    </w:p>
    <w:p>
      <w:pPr>
        <w:pStyle w:val="ListParagraph"/>
        <w:numPr>
          <w:ilvl w:val="0"/>
          <w:numId w:val="3"/>
        </w:numPr>
        <w:spacing w:after="60" w:before="0"/>
      </w:pPr>
      <w:r>
        <w:rPr>
          <w:rFonts w:ascii="Aptos" w:cs="Aptos" w:eastAsia="Aptos" w:hAnsi="Aptos"/>
        </w:rPr>
        <w:t xml:space="preserve">Adopted: a switch per feature; guardian decides for under-18s; under-18 profiling and offers locked off until the lawyer confirms (26 October 2026).</w:t>
      </w:r>
    </w:p>
    <w:p>
      <w:pPr>
        <w:pStyle w:val="ListParagraph"/>
        <w:numPr>
          <w:ilvl w:val="0"/>
          <w:numId w:val="3"/>
        </w:numPr>
        <w:spacing w:after="60" w:before="0"/>
      </w:pPr>
      <w:r>
        <w:rPr>
          <w:rFonts w:ascii="Aptos" w:cs="Aptos" w:eastAsia="Aptos" w:hAnsi="Aptos"/>
        </w:rPr>
        <w:t xml:space="preserve">Retention: NexaTute records 5 years after last use; voice, images and handwriting 90 days after the plan; recordings 12 months; consent records 3 years; likeness models deleted within 72 hours of withdrawal; billing 7 years.</w:t>
      </w:r>
    </w:p>
    <w:p>
      <w:pPr>
        <w:pStyle w:val="Heading2"/>
      </w:pPr>
      <w:r>
        <w:rPr>
          <w:rFonts w:ascii="Aptos" w:cs="Aptos" w:eastAsia="Aptos" w:hAnsi="Aptos"/>
        </w:rPr>
        <w:t xml:space="preserve">6.2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6"/>
        <w:gridCol w:w="3363"/>
        <w:gridCol w:w="2797"/>
      </w:tblGrid>
      <w:tr>
        <w:trPr>
          <w:cantSplit/>
          <w:tblHeader/>
        </w:trPr>
        <w:tc>
          <w:tcPr>
            <w:tcW w:type="dxa" w:w="31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33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w:t>
            </w:r>
          </w:p>
        </w:tc>
        <w:tc>
          <w:tcPr>
            <w:tcW w:type="dxa" w:w="279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1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Personal Data Protection Act, 2026 (from Ordinance No. 61 of 2025 and Amendment Ordinance No. 23 of 2026)</w:t>
            </w:r>
          </w:p>
        </w:tc>
        <w:tc>
          <w:tcPr>
            <w:tcW w:type="dxa" w:w="33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Reported in force from 15 April 2026; cited as Law 63 of 2026 by one source; Gazette text not seen; a phase-in to about May 2027 not confirmed</w:t>
            </w:r>
          </w:p>
        </w:tc>
        <w:tc>
          <w:tcPr>
            <w:tcW w:type="dxa" w:w="279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 (in force); low (number, dates, localisation, penalties) [lawyer to confirm]</w:t>
            </w:r>
          </w:p>
        </w:tc>
      </w:tr>
      <w:tr>
        <w:trPr>
          <w:cantSplit/>
        </w:trPr>
        <w:tc>
          <w:tcPr>
            <w:tcW w:type="dxa" w:w="31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National Data Management Act, 2026</w:t>
            </w:r>
          </w:p>
        </w:tc>
        <w:tc>
          <w:tcPr>
            <w:tcW w:type="dxa" w:w="33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authority under the Prime Minister's Office</w:t>
            </w:r>
          </w:p>
        </w:tc>
        <w:tc>
          <w:tcPr>
            <w:tcW w:type="dxa" w:w="279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bl>
    <w:p>
      <w:pPr>
        <w:spacing w:after="120" w:before="0"/>
      </w:pPr>
    </w:p>
    <w:p>
      <w:pPr>
        <w:spacing w:after="140" w:before="0" w:line="288"/>
      </w:pPr>
      <w:r>
        <w:rPr>
          <w:rFonts w:ascii="Aptos" w:cs="Aptos" w:eastAsia="Aptos" w:hAnsi="Aptos"/>
        </w:rPr>
        <w:t xml:space="preserve">Key points reported (secondary sources; check against the Act):</w:t>
      </w:r>
    </w:p>
    <w:p>
      <w:pPr>
        <w:pStyle w:val="ListParagraph"/>
        <w:numPr>
          <w:ilvl w:val="0"/>
          <w:numId w:val="3"/>
        </w:numPr>
        <w:spacing w:after="60" w:before="0"/>
      </w:pPr>
      <w:r>
        <w:rPr>
          <w:rFonts w:ascii="Aptos" w:cs="Aptos" w:eastAsia="Aptos" w:hAnsi="Aptos"/>
        </w:rPr>
        <w:t xml:space="preserve">Extraterritorial: covers processing abroad for offering services to, or monitoring, people in Bangladesh.</w:t>
      </w:r>
    </w:p>
    <w:p>
      <w:pPr>
        <w:pStyle w:val="ListParagraph"/>
        <w:numPr>
          <w:ilvl w:val="0"/>
          <w:numId w:val="3"/>
        </w:numPr>
        <w:spacing w:after="60" w:before="0"/>
      </w:pPr>
      <w:r>
        <w:rPr>
          <w:rFonts w:ascii="Aptos" w:cs="Aptos" w:eastAsia="Aptos" w:hAnsi="Aptos"/>
        </w:rPr>
        <w:t xml:space="preserve">Consent free, specific, explicit, revocable and provable. Sensitive data (including biometric) needs specific consent plus another basis; voice prints and face data are likely biometric.</w:t>
      </w:r>
    </w:p>
    <w:p>
      <w:pPr>
        <w:pStyle w:val="ListParagraph"/>
        <w:numPr>
          <w:ilvl w:val="0"/>
          <w:numId w:val="3"/>
        </w:numPr>
        <w:spacing w:after="60" w:before="0"/>
      </w:pPr>
      <w:r>
        <w:rPr>
          <w:rFonts w:ascii="Aptos" w:cs="Aptos" w:eastAsia="Aptos" w:hAnsi="Aptos"/>
        </w:rPr>
        <w:t xml:space="preserve">Children (under 18): guardian consent before processing; tracking, monitoring, profiling and targeted advertising directed at children prohibited; misuse of children's data is an offence.</w:t>
      </w:r>
    </w:p>
    <w:p>
      <w:pPr>
        <w:pStyle w:val="ListParagraph"/>
        <w:numPr>
          <w:ilvl w:val="0"/>
          <w:numId w:val="3"/>
        </w:numPr>
        <w:spacing w:after="60" w:before="0"/>
      </w:pPr>
      <w:r>
        <w:rPr>
          <w:rFonts w:ascii="Aptos" w:cs="Aptos" w:eastAsia="Aptos" w:hAnsi="Aptos"/>
        </w:rPr>
        <w:t xml:space="preserve">Rights: access, portability, correction (30 days), erasure, withdrawal, limits on automated decisions.</w:t>
      </w:r>
    </w:p>
    <w:p>
      <w:pPr>
        <w:pStyle w:val="ListParagraph"/>
        <w:numPr>
          <w:ilvl w:val="0"/>
          <w:numId w:val="3"/>
        </w:numPr>
        <w:spacing w:after="60" w:before="0"/>
      </w:pPr>
      <w:r>
        <w:rPr>
          <w:rFonts w:ascii="Aptos" w:cs="Aptos" w:eastAsia="Aptos" w:hAnsi="Aptos"/>
        </w:rPr>
        <w:t xml:space="preserve">Localisation: the 2025 text kept confidential and restricted data in Bangladesh; a trade association reports the 2026 revision removed this but kept Article 29(7) (relocation orders within 60 days) and 29(5) (fees on profits from citizens' data). Not confirmed.</w:t>
      </w:r>
    </w:p>
    <w:p>
      <w:pPr>
        <w:pStyle w:val="ListParagraph"/>
        <w:numPr>
          <w:ilvl w:val="0"/>
          <w:numId w:val="3"/>
        </w:numPr>
        <w:spacing w:after="60" w:before="0"/>
      </w:pPr>
      <w:r>
        <w:rPr>
          <w:rFonts w:ascii="Aptos" w:cs="Aptos" w:eastAsia="Aptos" w:hAnsi="Aptos"/>
        </w:rPr>
        <w:t xml:space="preserve">Transfers: with consent, by contract, or for education with consent, to destinations with safeguards; large-scale sensitive transfers need permission or notice.</w:t>
      </w:r>
    </w:p>
    <w:p>
      <w:pPr>
        <w:pStyle w:val="ListParagraph"/>
        <w:numPr>
          <w:ilvl w:val="0"/>
          <w:numId w:val="3"/>
        </w:numPr>
        <w:spacing w:after="60" w:before="0"/>
      </w:pPr>
      <w:r>
        <w:rPr>
          <w:rFonts w:ascii="Aptos" w:cs="Aptos" w:eastAsia="Aptos" w:hAnsi="Aptos"/>
        </w:rPr>
        <w:t xml:space="preserve">Significant breaches notified to the authority (deadline by regulation); "significant" fiduciaries appoint a Chief Data Officer; penalties differ by version (Tk 25–50 lakh, or up to 1–5% of turnover in the Ordinance).</w:t>
      </w:r>
    </w:p>
    <w:p>
      <w:pPr>
        <w:pStyle w:val="Heading2"/>
      </w:pPr>
      <w:r>
        <w:rPr>
          <w:rFonts w:ascii="Aptos" w:cs="Aptos" w:eastAsia="Aptos" w:hAnsi="Aptos"/>
        </w:rPr>
        <w:t xml:space="preserve">6.3 Our proposed position</w:t>
      </w:r>
    </w:p>
    <w:p>
      <w:pPr>
        <w:pStyle w:val="ListParagraph"/>
        <w:numPr>
          <w:ilvl w:val="0"/>
          <w:numId w:val="14"/>
        </w:numPr>
        <w:spacing w:after="60" w:before="0"/>
      </w:pPr>
      <w:r>
        <w:rPr>
          <w:rFonts w:ascii="Aptos" w:cs="Aptos" w:eastAsia="Aptos" w:hAnsi="Aptos"/>
        </w:rPr>
        <w:t xml:space="preserve">Comply now as if fully in force. RemonLogic is the data fiduciary; every provider signs a DPA forbidding its own use; a DPO is appointed before Free Beta [to insert].</w:t>
      </w:r>
    </w:p>
    <w:p>
      <w:pPr>
        <w:pStyle w:val="ListParagraph"/>
        <w:numPr>
          <w:ilvl w:val="0"/>
          <w:numId w:val="14"/>
        </w:numPr>
        <w:spacing w:after="60" w:before="0"/>
      </w:pPr>
      <w:r>
        <w:rPr>
          <w:rFonts w:ascii="Aptos" w:cs="Aptos" w:eastAsia="Aptos" w:hAnsi="Aptos"/>
        </w:rPr>
        <w:t xml:space="preserve">Layered notices in Bangla and English; one switch per purpose; no pre-ticked boxes; consent records with version and time.</w:t>
      </w:r>
    </w:p>
    <w:p>
      <w:pPr>
        <w:pStyle w:val="ListParagraph"/>
        <w:numPr>
          <w:ilvl w:val="0"/>
          <w:numId w:val="14"/>
        </w:numPr>
        <w:spacing w:after="60" w:before="0"/>
      </w:pPr>
      <w:r>
        <w:rPr>
          <w:rFonts w:ascii="Aptos" w:cs="Aptos" w:eastAsia="Aptos" w:hAnsi="Aptos"/>
        </w:rPr>
        <w:t xml:space="preserve">Children: guardian consent first; no tracking, profiling or targeted advertising for under-18 learners, even with guardian consent, until the lawyer confirms. Engagement intelligence (learner state, interest map, drop-out prediction, Shorts ranking, individual A/B tests, reminder timing) stays off; only non-profiling adaptive teaching (answers and mastery inside the syllabus). No personalised or cross-course offers to under-18s; guardian offers generic (default, editable).</w:t>
      </w:r>
    </w:p>
    <w:p>
      <w:pPr>
        <w:pStyle w:val="ListParagraph"/>
        <w:numPr>
          <w:ilvl w:val="0"/>
          <w:numId w:val="14"/>
        </w:numPr>
        <w:spacing w:after="60" w:before="0"/>
      </w:pPr>
      <w:r>
        <w:rPr>
          <w:rFonts w:ascii="Aptos" w:cs="Aptos" w:eastAsia="Aptos" w:hAnsi="Aptos"/>
        </w:rPr>
        <w:t xml:space="preserve">Voice prints, face templates and twins treated as biometric: separate consent, the contract as second basis, a DPIA, encrypted storage. NexaTute face verification off for under-18s (default, editable).</w:t>
      </w:r>
    </w:p>
    <w:p>
      <w:pPr>
        <w:pStyle w:val="ListParagraph"/>
        <w:numPr>
          <w:ilvl w:val="0"/>
          <w:numId w:val="14"/>
        </w:numPr>
        <w:spacing w:after="60" w:before="0"/>
      </w:pPr>
      <w:r>
        <w:rPr>
          <w:rFonts w:ascii="Aptos" w:cs="Aptos" w:eastAsia="Aptos" w:hAnsi="Aptos"/>
        </w:rPr>
        <w:t xml:space="preserve">Transfers: consent, contract and safeguards; the Privacy Policy names countries and providers; a plan can move children's data to a Bangladesh store within 60 days of an order.</w:t>
      </w:r>
    </w:p>
    <w:p>
      <w:pPr>
        <w:pStyle w:val="ListParagraph"/>
        <w:numPr>
          <w:ilvl w:val="0"/>
          <w:numId w:val="14"/>
        </w:numPr>
        <w:spacing w:after="60" w:before="0"/>
      </w:pPr>
      <w:r>
        <w:rPr>
          <w:rFonts w:ascii="Aptos" w:cs="Aptos" w:eastAsia="Aptos" w:hAnsi="Aptos"/>
        </w:rPr>
        <w:t xml:space="preserve">Self-service export and deletion; correction within 30 days; human review of significant automated decisions; breach notice to the authority and users within 72 hours (default, editable).</w:t>
      </w:r>
    </w:p>
    <w:p>
      <w:pPr>
        <w:pStyle w:val="ListParagraph"/>
        <w:numPr>
          <w:ilvl w:val="0"/>
          <w:numId w:val="14"/>
        </w:numPr>
        <w:spacing w:after="60" w:before="0"/>
      </w:pPr>
      <w:r>
        <w:rPr>
          <w:rFonts w:ascii="Aptos" w:cs="Aptos" w:eastAsia="Aptos" w:hAnsi="Aptos"/>
        </w:rPr>
        <w:t xml:space="preserve">Motion Studio customer lists: client is controller, RemonLogic processor; lists deleted 30 days after the campaign (default, editable).</w:t>
      </w:r>
    </w:p>
    <w:p>
      <w:pPr>
        <w:pStyle w:val="Heading2"/>
      </w:pPr>
      <w:r>
        <w:rPr>
          <w:rFonts w:ascii="Aptos" w:cs="Aptos" w:eastAsia="Aptos" w:hAnsi="Aptos"/>
        </w:rPr>
        <w:t xml:space="preserve">6.4 Risks if wrong</w:t>
      </w:r>
    </w:p>
    <w:p>
      <w:pPr>
        <w:pStyle w:val="ListParagraph"/>
        <w:numPr>
          <w:ilvl w:val="0"/>
          <w:numId w:val="3"/>
        </w:numPr>
        <w:spacing w:after="60" w:before="0"/>
      </w:pPr>
      <w:r>
        <w:rPr>
          <w:rFonts w:ascii="Aptos" w:cs="Aptos" w:eastAsia="Aptos" w:hAnsi="Aptos"/>
        </w:rPr>
        <w:t xml:space="preserve">Children's-data offences (engagement intelligence is the largest risk); invalid biometric consent; a 60-day relocation order; consents collected before incorporation may be invalid.</w:t>
      </w:r>
    </w:p>
    <w:p>
      <w:pPr>
        <w:pStyle w:val="Heading2"/>
      </w:pPr>
      <w:r>
        <w:rPr>
          <w:rFonts w:ascii="Aptos" w:cs="Aptos" w:eastAsia="Aptos" w:hAnsi="Aptos"/>
        </w:rPr>
        <w:t xml:space="preserve">6.5 Questions for the lawyer</w:t>
      </w:r>
    </w:p>
    <w:p>
      <w:pPr>
        <w:pStyle w:val="ListParagraph"/>
        <w:numPr>
          <w:ilvl w:val="0"/>
          <w:numId w:val="15"/>
        </w:numPr>
        <w:spacing w:after="60" w:before="0"/>
      </w:pPr>
      <w:r>
        <w:rPr>
          <w:rFonts w:ascii="Aptos" w:cs="Aptos" w:eastAsia="Aptos" w:hAnsi="Aptos"/>
        </w:rPr>
        <w:t xml:space="preserve">What are the Gazette number, commencement and text of the Personal Data Protection Act 2026 and the National Data Management Act 2026? Is there a phase-in?</w:t>
      </w:r>
    </w:p>
    <w:p>
      <w:pPr>
        <w:pStyle w:val="ListParagraph"/>
        <w:numPr>
          <w:ilvl w:val="0"/>
          <w:numId w:val="15"/>
        </w:numPr>
        <w:spacing w:after="60" w:before="0"/>
      </w:pPr>
      <w:r>
        <w:rPr>
          <w:rFonts w:ascii="Aptos" w:cs="Aptos" w:eastAsia="Aptos" w:hAnsi="Aptos"/>
        </w:rPr>
        <w:t xml:space="preserve">Does the ban on tracking, monitoring and profiling of children prohibit adaptive teaching from answers, reminder timing, drop-out prediction, learning-style detection or MindForge scores, even with guardian consent?</w:t>
      </w:r>
    </w:p>
    <w:p>
      <w:pPr>
        <w:pStyle w:val="ListParagraph"/>
        <w:numPr>
          <w:ilvl w:val="0"/>
          <w:numId w:val="15"/>
        </w:numPr>
        <w:spacing w:after="60" w:before="0"/>
      </w:pPr>
      <w:r>
        <w:rPr>
          <w:rFonts w:ascii="Aptos" w:cs="Aptos" w:eastAsia="Aptos" w:hAnsi="Aptos"/>
        </w:rPr>
        <w:t xml:space="preserve">Is a guardian OTP plus date of birth sufficient guardian consent?</w:t>
      </w:r>
    </w:p>
    <w:p>
      <w:pPr>
        <w:pStyle w:val="ListParagraph"/>
        <w:numPr>
          <w:ilvl w:val="0"/>
          <w:numId w:val="15"/>
        </w:numPr>
        <w:spacing w:after="60" w:before="0"/>
      </w:pPr>
      <w:r>
        <w:rPr>
          <w:rFonts w:ascii="Aptos" w:cs="Aptos" w:eastAsia="Aptos" w:hAnsi="Aptos"/>
        </w:rPr>
        <w:t xml:space="preserve">Are voice prints, voice models and digital twins biometric data, and what second legal basis is needed?</w:t>
      </w:r>
    </w:p>
    <w:p>
      <w:pPr>
        <w:pStyle w:val="ListParagraph"/>
        <w:numPr>
          <w:ilvl w:val="0"/>
          <w:numId w:val="15"/>
        </w:numPr>
        <w:spacing w:after="60" w:before="0"/>
      </w:pPr>
      <w:r>
        <w:rPr>
          <w:rFonts w:ascii="Aptos" w:cs="Aptos" w:eastAsia="Aptos" w:hAnsi="Aptos"/>
        </w:rPr>
        <w:t xml:space="preserve">Did localisation survive? Does education-related transfer with consent cover NexaTute?</w:t>
      </w:r>
    </w:p>
    <w:p>
      <w:pPr>
        <w:pStyle w:val="ListParagraph"/>
        <w:numPr>
          <w:ilvl w:val="0"/>
          <w:numId w:val="15"/>
        </w:numPr>
        <w:spacing w:after="60" w:before="0"/>
      </w:pPr>
      <w:r>
        <w:rPr>
          <w:rFonts w:ascii="Aptos" w:cs="Aptos" w:eastAsia="Aptos" w:hAnsi="Aptos"/>
        </w:rPr>
        <w:t xml:space="preserve">Is US storage a "large-scale transfer of sensitive identifiers" needing permission? Will the company be a significant fiduciary?</w:t>
      </w:r>
    </w:p>
    <w:p>
      <w:pPr>
        <w:pStyle w:val="ListParagraph"/>
        <w:numPr>
          <w:ilvl w:val="0"/>
          <w:numId w:val="15"/>
        </w:numPr>
        <w:spacing w:after="60" w:before="0"/>
      </w:pPr>
      <w:r>
        <w:rPr>
          <w:rFonts w:ascii="Aptos" w:cs="Aptos" w:eastAsia="Aptos" w:hAnsi="Aptos"/>
        </w:rPr>
        <w:t xml:space="preserve">What breach-notice deadline applies, and are the retention periods in 6.1 acceptable?</w:t>
      </w:r>
    </w:p>
    <w:p>
      <w:pPr>
        <w:pStyle w:val="Heading2"/>
      </w:pPr>
      <w:r>
        <w:rPr>
          <w:rFonts w:ascii="Aptos" w:cs="Aptos" w:eastAsia="Aptos" w:hAnsi="Aptos"/>
        </w:rPr>
        <w:t xml:space="preserve">6.6 Documents and actions needed</w:t>
      </w:r>
    </w:p>
    <w:p>
      <w:pPr>
        <w:pStyle w:val="ListParagraph"/>
        <w:numPr>
          <w:ilvl w:val="0"/>
          <w:numId w:val="3"/>
        </w:numPr>
        <w:spacing w:after="60" w:before="0"/>
      </w:pPr>
      <w:r>
        <w:rPr>
          <w:rFonts w:ascii="Aptos" w:cs="Aptos" w:eastAsia="Aptos" w:hAnsi="Aptos"/>
        </w:rPr>
        <w:t xml:space="preserve">Privacy Policies, consent screens, DPAs, DPO, record of processing, rights and breach procedures, localisation plan, DPIAs (children, voice and likeness, recordings, MindForge).</w:t>
      </w:r>
    </w:p>
    <w:p>
      <w:pPr>
        <w:pStyle w:val="Heading1"/>
        <w:pageBreakBefore/>
      </w:pPr>
      <w:r>
        <w:rPr>
          <w:rFonts w:ascii="Aptos" w:cs="Aptos" w:eastAsia="Aptos" w:hAnsi="Aptos"/>
        </w:rPr>
        <w:t xml:space="preserve">7. International Privacy — EU, UK and USA</w:t>
      </w:r>
    </w:p>
    <w:p>
      <w:pPr>
        <w:spacing w:after="140" w:before="0" w:line="288"/>
      </w:pPr>
      <w:r>
        <w:rPr>
          <w:rFonts w:ascii="Aptos" w:cs="Aptos" w:eastAsia="Aptos" w:hAnsi="Aptos"/>
        </w:rPr>
        <w:t xml:space="preserve">Covers the GDPR and UK GDPR (including the Article 27 representative), California's CCPA/CPRA and the US COPPA. For the international law firm the owner approved before EU and US marketing (30 October 2026).</w:t>
      </w:r>
    </w:p>
    <w:p>
      <w:pPr>
        <w:pStyle w:val="Heading2"/>
      </w:pPr>
      <w:r>
        <w:rPr>
          <w:rFonts w:ascii="Aptos" w:cs="Aptos" w:eastAsia="Aptos" w:hAnsi="Aptos"/>
        </w:rPr>
        <w:t xml:space="preserve">7.1 Facts</w:t>
      </w:r>
    </w:p>
    <w:p>
      <w:pPr>
        <w:pStyle w:val="ListParagraph"/>
        <w:numPr>
          <w:ilvl w:val="0"/>
          <w:numId w:val="3"/>
        </w:numPr>
        <w:spacing w:after="60" w:before="0"/>
      </w:pPr>
      <w:r>
        <w:rPr>
          <w:rFonts w:ascii="Aptos" w:cs="Aptos" w:eastAsia="Aptos" w:hAnsi="Aptos"/>
        </w:rPr>
        <w:t xml:space="preserve">NexaTute and PlayBoom are sold in USD to learners abroad; Motion Studio in USD, EUR, GBP and other currencies, with an enterprise DPA and later EU data residency. Data is stored in the USA (possibly the Netherlands).</w:t>
      </w:r>
    </w:p>
    <w:p>
      <w:pPr>
        <w:pStyle w:val="ListParagraph"/>
        <w:numPr>
          <w:ilvl w:val="0"/>
          <w:numId w:val="3"/>
        </w:numPr>
        <w:spacing w:after="60" w:before="0"/>
      </w:pPr>
      <w:r>
        <w:rPr>
          <w:rFonts w:ascii="Aptos" w:cs="Aptos" w:eastAsia="Aptos" w:hAnsi="Aptos"/>
        </w:rPr>
        <w:t xml:space="preserve">Owner decisions (30 October 2026): EU and UK GDPR representatives; DPO question for the international lawyer; DMCA agent and CCPA; international review before EU/US marketing. MindForge assessment is off in the EU.</w:t>
      </w:r>
    </w:p>
    <w:p>
      <w:pPr>
        <w:pStyle w:val="ListParagraph"/>
        <w:numPr>
          <w:ilvl w:val="0"/>
          <w:numId w:val="3"/>
        </w:numPr>
        <w:spacing w:after="60" w:before="0"/>
      </w:pPr>
      <w:r>
        <w:rPr>
          <w:rFonts w:ascii="Aptos" w:cs="Aptos" w:eastAsia="Aptos" w:hAnsi="Aptos"/>
        </w:rPr>
        <w:t xml:space="preserve">Special-category data: voice prints and face data; children's data.</w:t>
      </w:r>
    </w:p>
    <w:p>
      <w:pPr>
        <w:pStyle w:val="Heading2"/>
      </w:pPr>
      <w:r>
        <w:rPr>
          <w:rFonts w:ascii="Aptos" w:cs="Aptos" w:eastAsia="Aptos" w:hAnsi="Aptos"/>
        </w:rPr>
        <w:t xml:space="preserve">7.2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5"/>
        <w:gridCol w:w="3950"/>
        <w:gridCol w:w="2071"/>
      </w:tblGrid>
      <w:tr>
        <w:trPr>
          <w:cantSplit/>
          <w:tblHeader/>
        </w:trPr>
        <w:tc>
          <w:tcPr>
            <w:tcW w:type="dxa" w:w="32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395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207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2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GDPR Art. 3(2) and Art. 27</w:t>
            </w:r>
          </w:p>
        </w:tc>
        <w:tc>
          <w:tcPr>
            <w:tcW w:type="dxa" w:w="39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A non-EU controller offering services to, or monitoring, people in the EU must designate in writing an EU representative. The exemption (occasional, low-risk processing) does not fit a continuously marketed SaaS processing voiceprints, face data (Art. 9) and children's data. Paddle as merchant of record does not remove the duty</w:t>
            </w:r>
          </w:p>
        </w:tc>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2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UK GDPR Art. 27</w:t>
            </w:r>
          </w:p>
        </w:tc>
        <w:tc>
          <w:tcPr>
            <w:tcW w:type="dxa" w:w="39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unchanged by the Data (Use and Access) Act 2025; only the regulator's name changed on 30 September 2026 (S.I. 2026/386)</w:t>
            </w:r>
          </w:p>
        </w:tc>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2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CCPA/CPRA</w:t>
            </w:r>
          </w:p>
        </w:tc>
        <w:tc>
          <w:tcPr>
            <w:tcW w:type="dxa" w:w="39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Applies if any one is met: worldwide revenue above $26,625,000; data of 100,000+ California consumers bought, sold or shared a year; 50%+ of revenue from selling or sharing data</w:t>
            </w:r>
          </w:p>
        </w:tc>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2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COPPA and the amended Rule</w:t>
            </w:r>
          </w:p>
        </w:tc>
        <w:tc>
          <w:tcPr>
            <w:tcW w:type="dxa" w:w="39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 compliance from 22 April 2026. Applies to child-directed services or actual knowledge of US under-13 users, whatever the operator's country. Separate parental consent for third-party disclosure (reportedly including targeted ads and AI training); written retention policy and security programme; vendor assurances; voiceprints and faceprints covered; up to $53,088 per violation</w:t>
            </w:r>
          </w:p>
        </w:tc>
        <w:tc>
          <w:tcPr>
            <w:tcW w:type="dxa" w:w="2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2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GDPR Art. 8 (consent age 13–16), Art. 37 (DPO), transfer rules; other US state laws</w:t>
            </w:r>
          </w:p>
        </w:tc>
        <w:tc>
          <w:tcPr>
            <w:tcW w:type="dxa" w:w="39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General knowledge or not researched</w:t>
            </w:r>
          </w:p>
        </w:tc>
        <w:tc>
          <w:tcPr>
            <w:tcW w:type="dxa" w:w="2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lawyer to confirm]</w:t>
            </w:r>
          </w:p>
        </w:tc>
      </w:tr>
    </w:tbl>
    <w:p>
      <w:pPr>
        <w:spacing w:after="120" w:before="0"/>
      </w:pPr>
    </w:p>
    <w:p>
      <w:pPr>
        <w:pStyle w:val="Heading2"/>
      </w:pPr>
      <w:r>
        <w:rPr>
          <w:rFonts w:ascii="Aptos" w:cs="Aptos" w:eastAsia="Aptos" w:hAnsi="Aptos"/>
        </w:rPr>
        <w:t xml:space="preserve">7.3 Our proposed position</w:t>
      </w:r>
    </w:p>
    <w:p>
      <w:pPr>
        <w:pStyle w:val="ListParagraph"/>
        <w:numPr>
          <w:ilvl w:val="0"/>
          <w:numId w:val="16"/>
        </w:numPr>
        <w:spacing w:after="60" w:before="0"/>
      </w:pPr>
      <w:r>
        <w:rPr>
          <w:rFonts w:ascii="Aptos" w:cs="Aptos" w:eastAsia="Aptos" w:hAnsi="Aptos"/>
        </w:rPr>
        <w:t xml:space="preserve">GDPR and UK GDPR apply from the first EU or UK user. Appoint EU and UK representatives before EU or UK marketing and name them in the Privacy Policies [to insert].</w:t>
      </w:r>
    </w:p>
    <w:p>
      <w:pPr>
        <w:pStyle w:val="ListParagraph"/>
        <w:numPr>
          <w:ilvl w:val="0"/>
          <w:numId w:val="16"/>
        </w:numPr>
        <w:spacing w:after="60" w:before="0"/>
      </w:pPr>
      <w:r>
        <w:rPr>
          <w:rFonts w:ascii="Aptos" w:cs="Aptos" w:eastAsia="Aptos" w:hAnsi="Aptos"/>
        </w:rPr>
        <w:t xml:space="preserve">Decide with the international firm whether a GDPR DPO is required (likely, given biometric and children's data) and whether the Bangladesh DPO can act.</w:t>
      </w:r>
    </w:p>
    <w:p>
      <w:pPr>
        <w:pStyle w:val="ListParagraph"/>
        <w:numPr>
          <w:ilvl w:val="0"/>
          <w:numId w:val="16"/>
        </w:numPr>
        <w:spacing w:after="60" w:before="0"/>
      </w:pPr>
      <w:r>
        <w:rPr>
          <w:rFonts w:ascii="Aptos" w:cs="Aptos" w:eastAsia="Aptos" w:hAnsi="Aptos"/>
        </w:rPr>
        <w:t xml:space="preserve">Lawful bases: contract; explicit consent for voice and face; parental consent below each member state's age. Transfers under standard contractual clauses or equivalent. No profiling of EU children; MindForge assessment off.</w:t>
      </w:r>
    </w:p>
    <w:p>
      <w:pPr>
        <w:pStyle w:val="ListParagraph"/>
        <w:numPr>
          <w:ilvl w:val="0"/>
          <w:numId w:val="16"/>
        </w:numPr>
        <w:spacing w:after="60" w:before="0"/>
      </w:pPr>
      <w:r>
        <w:rPr>
          <w:rFonts w:ascii="Aptos" w:cs="Aptos" w:eastAsia="Aptos" w:hAnsi="Aptos"/>
        </w:rPr>
        <w:t xml:space="preserve">CCPA: almost certainly not covered at launch. Publish a short voluntary notice for California residents without claiming compliance; track the three thresholds with an alert at 50% (default, editable); never sell or share personal data for cross-context advertising.</w:t>
      </w:r>
    </w:p>
    <w:p>
      <w:pPr>
        <w:pStyle w:val="ListParagraph"/>
        <w:numPr>
          <w:ilvl w:val="0"/>
          <w:numId w:val="16"/>
        </w:numPr>
        <w:spacing w:after="60" w:before="0"/>
      </w:pPr>
      <w:r>
        <w:rPr>
          <w:rFonts w:ascii="Aptos" w:cs="Aptos" w:eastAsia="Aptos" w:hAnsi="Aptos"/>
        </w:rPr>
        <w:t xml:space="preserve">COPPA: block US under-13 users of NexaTute and PlayBoom (age check asks country and date of birth) until a COPPA programme exists: FTC-recognised parental consent, written retention policy, written security programme, vendor assurances, separate consent for any third-party disclosure, no AI training on children's data (default, editable).</w:t>
      </w:r>
    </w:p>
    <w:p>
      <w:pPr>
        <w:pStyle w:val="ListParagraph"/>
        <w:numPr>
          <w:ilvl w:val="0"/>
          <w:numId w:val="16"/>
        </w:numPr>
        <w:spacing w:after="60" w:before="0"/>
      </w:pPr>
      <w:r>
        <w:rPr>
          <w:rFonts w:ascii="Aptos" w:cs="Aptos" w:eastAsia="Aptos" w:hAnsi="Aptos"/>
        </w:rPr>
        <w:t xml:space="preserve">Motion Studio is not child-directed and is 18+ (chapter 8).</w:t>
      </w:r>
    </w:p>
    <w:p>
      <w:pPr>
        <w:pStyle w:val="Heading2"/>
      </w:pPr>
      <w:r>
        <w:rPr>
          <w:rFonts w:ascii="Aptos" w:cs="Aptos" w:eastAsia="Aptos" w:hAnsi="Aptos"/>
        </w:rPr>
        <w:t xml:space="preserve">7.4 Risks if wrong</w:t>
      </w:r>
    </w:p>
    <w:p>
      <w:pPr>
        <w:pStyle w:val="ListParagraph"/>
        <w:numPr>
          <w:ilvl w:val="0"/>
          <w:numId w:val="3"/>
        </w:numPr>
        <w:spacing w:after="60" w:before="0"/>
      </w:pPr>
      <w:r>
        <w:rPr>
          <w:rFonts w:ascii="Aptos" w:cs="Aptos" w:eastAsia="Aptos" w:hAnsi="Aptos"/>
        </w:rPr>
        <w:t xml:space="preserve">GDPR/UK GDPR fines, processing bans and transfer suspensions; COPPA penalties (a date-of-birth question creates actual knowledge); misleading-advertising exposure for unfounded compliance claims.</w:t>
      </w:r>
    </w:p>
    <w:p>
      <w:pPr>
        <w:pStyle w:val="Heading2"/>
      </w:pPr>
      <w:r>
        <w:rPr>
          <w:rFonts w:ascii="Aptos" w:cs="Aptos" w:eastAsia="Aptos" w:hAnsi="Aptos"/>
        </w:rPr>
        <w:t xml:space="preserve">7.5 Questions for the international law firm</w:t>
      </w:r>
    </w:p>
    <w:p>
      <w:pPr>
        <w:pStyle w:val="ListParagraph"/>
        <w:numPr>
          <w:ilvl w:val="0"/>
          <w:numId w:val="17"/>
        </w:numPr>
        <w:spacing w:after="60" w:before="0"/>
      </w:pPr>
      <w:r>
        <w:rPr>
          <w:rFonts w:ascii="Aptos" w:cs="Aptos" w:eastAsia="Aptos" w:hAnsi="Aptos"/>
        </w:rPr>
        <w:t xml:space="preserve">Are EU and UK representatives needed from the first user or from the start of marketing?</w:t>
      </w:r>
    </w:p>
    <w:p>
      <w:pPr>
        <w:pStyle w:val="ListParagraph"/>
        <w:numPr>
          <w:ilvl w:val="0"/>
          <w:numId w:val="17"/>
        </w:numPr>
        <w:spacing w:after="60" w:before="0"/>
      </w:pPr>
      <w:r>
        <w:rPr>
          <w:rFonts w:ascii="Aptos" w:cs="Aptos" w:eastAsia="Aptos" w:hAnsi="Aptos"/>
        </w:rPr>
        <w:t xml:space="preserve">Is a GDPR DPO required, and may the Bangladesh DPO act?</w:t>
      </w:r>
    </w:p>
    <w:p>
      <w:pPr>
        <w:pStyle w:val="ListParagraph"/>
        <w:numPr>
          <w:ilvl w:val="0"/>
          <w:numId w:val="17"/>
        </w:numPr>
        <w:spacing w:after="60" w:before="0"/>
      </w:pPr>
      <w:r>
        <w:rPr>
          <w:rFonts w:ascii="Aptos" w:cs="Aptos" w:eastAsia="Aptos" w:hAnsi="Aptos"/>
        </w:rPr>
        <w:t xml:space="preserve">Which transfer mechanism suits a Bangladeshi controller using US and Dutch infrastructure?</w:t>
      </w:r>
    </w:p>
    <w:p>
      <w:pPr>
        <w:pStyle w:val="ListParagraph"/>
        <w:numPr>
          <w:ilvl w:val="0"/>
          <w:numId w:val="17"/>
        </w:numPr>
        <w:spacing w:after="60" w:before="0"/>
      </w:pPr>
      <w:r>
        <w:rPr>
          <w:rFonts w:ascii="Aptos" w:cs="Aptos" w:eastAsia="Aptos" w:hAnsi="Aptos"/>
        </w:rPr>
        <w:t xml:space="preserve">Which consent ages and parental-verification methods apply in target member states?</w:t>
      </w:r>
    </w:p>
    <w:p>
      <w:pPr>
        <w:pStyle w:val="ListParagraph"/>
        <w:numPr>
          <w:ilvl w:val="0"/>
          <w:numId w:val="17"/>
        </w:numPr>
        <w:spacing w:after="60" w:before="0"/>
      </w:pPr>
      <w:r>
        <w:rPr>
          <w:rFonts w:ascii="Aptos" w:cs="Aptos" w:eastAsia="Aptos" w:hAnsi="Aptos"/>
        </w:rPr>
        <w:t xml:space="preserve">Are NexaTute's adaptive features "profiling" of children under the GDPR and the UK Age Appropriate Design Code?</w:t>
      </w:r>
    </w:p>
    <w:p>
      <w:pPr>
        <w:pStyle w:val="ListParagraph"/>
        <w:numPr>
          <w:ilvl w:val="0"/>
          <w:numId w:val="17"/>
        </w:numPr>
        <w:spacing w:after="60" w:before="0"/>
      </w:pPr>
      <w:r>
        <w:rPr>
          <w:rFonts w:ascii="Aptos" w:cs="Aptos" w:eastAsia="Aptos" w:hAnsi="Aptos"/>
        </w:rPr>
        <w:t xml:space="preserve">Is blocking US under-13 users the right approach at launch, or is a full COPPA programme proportionate?</w:t>
      </w:r>
    </w:p>
    <w:p>
      <w:pPr>
        <w:pStyle w:val="ListParagraph"/>
        <w:numPr>
          <w:ilvl w:val="0"/>
          <w:numId w:val="17"/>
        </w:numPr>
        <w:spacing w:after="60" w:before="0"/>
      </w:pPr>
      <w:r>
        <w:rPr>
          <w:rFonts w:ascii="Aptos" w:cs="Aptos" w:eastAsia="Aptos" w:hAnsi="Aptos"/>
        </w:rPr>
        <w:t xml:space="preserve">Which other US state privacy, biometric or children's laws apply to voice cloning, digital twins and tutoring?</w:t>
      </w:r>
    </w:p>
    <w:p>
      <w:pPr>
        <w:pStyle w:val="Heading2"/>
      </w:pPr>
      <w:r>
        <w:rPr>
          <w:rFonts w:ascii="Aptos" w:cs="Aptos" w:eastAsia="Aptos" w:hAnsi="Aptos"/>
        </w:rPr>
        <w:t xml:space="preserve">7.6 Documents and actions needed</w:t>
      </w:r>
    </w:p>
    <w:p>
      <w:pPr>
        <w:pStyle w:val="ListParagraph"/>
        <w:numPr>
          <w:ilvl w:val="0"/>
          <w:numId w:val="3"/>
        </w:numPr>
        <w:spacing w:after="60" w:before="0"/>
      </w:pPr>
      <w:r>
        <w:rPr>
          <w:rFonts w:ascii="Aptos" w:cs="Aptos" w:eastAsia="Aptos" w:hAnsi="Aptos"/>
        </w:rPr>
        <w:t xml:space="preserve">EU and UK representatives; GDPR-ready policies, transfer clauses, enterprise DPA; US under-13 block (before Free Beta if foreign sign-ups are open); California notice and tracker.</w:t>
      </w:r>
    </w:p>
    <w:p>
      <w:pPr>
        <w:pStyle w:val="Heading1"/>
        <w:pageBreakBefore/>
      </w:pPr>
      <w:r>
        <w:rPr>
          <w:rFonts w:ascii="Aptos" w:cs="Aptos" w:eastAsia="Aptos" w:hAnsi="Aptos"/>
        </w:rPr>
        <w:t xml:space="preserve">8. Children</w:t>
      </w:r>
    </w:p>
    <w:p>
      <w:pPr>
        <w:spacing w:after="140" w:before="0" w:line="288"/>
      </w:pPr>
      <w:r>
        <w:rPr>
          <w:rFonts w:ascii="Aptos" w:cs="Aptos" w:eastAsia="Aptos" w:hAnsi="Aptos"/>
        </w:rPr>
        <w:t xml:space="preserve">Rules on children in NexaTute, PlayBoom and Motion Studio (data-law points in chapters 6 and 7).</w:t>
      </w:r>
    </w:p>
    <w:p>
      <w:pPr>
        <w:pStyle w:val="Heading2"/>
      </w:pPr>
      <w:r>
        <w:rPr>
          <w:rFonts w:ascii="Aptos" w:cs="Aptos" w:eastAsia="Aptos" w:hAnsi="Aptos"/>
        </w:rPr>
        <w:t xml:space="preserve">8.1 Facts</w:t>
      </w:r>
    </w:p>
    <w:p>
      <w:pPr>
        <w:pStyle w:val="ListParagraph"/>
        <w:numPr>
          <w:ilvl w:val="0"/>
          <w:numId w:val="3"/>
        </w:numPr>
        <w:spacing w:after="60" w:before="0"/>
      </w:pPr>
      <w:r>
        <w:rPr>
          <w:rFonts w:ascii="Aptos" w:cs="Aptos" w:eastAsia="Aptos" w:hAnsi="Aptos"/>
        </w:rPr>
        <w:t xml:space="preserve">Many NexaTute learners are under 18; PlayBoom serves young children. Free Betas include children (NexaTute from 20 November 2026; PlayBoom 1–20 January 2027).</w:t>
      </w:r>
    </w:p>
    <w:p>
      <w:pPr>
        <w:pStyle w:val="ListParagraph"/>
        <w:numPr>
          <w:ilvl w:val="0"/>
          <w:numId w:val="3"/>
        </w:numPr>
        <w:spacing w:after="60" w:before="0"/>
      </w:pPr>
      <w:r>
        <w:rPr>
          <w:rFonts w:ascii="Aptos" w:cs="Aptos" w:eastAsia="Aptos" w:hAnsi="Aptos"/>
        </w:rPr>
        <w:t xml:space="preserve">Age check: date of birth plus guardian OTP for under-18s; the guardian decides every consent switch.</w:t>
      </w:r>
    </w:p>
    <w:p>
      <w:pPr>
        <w:pStyle w:val="ListParagraph"/>
        <w:numPr>
          <w:ilvl w:val="0"/>
          <w:numId w:val="3"/>
        </w:numPr>
        <w:spacing w:after="60" w:before="0"/>
      </w:pPr>
      <w:r>
        <w:rPr>
          <w:rFonts w:ascii="Aptos" w:cs="Aptos" w:eastAsia="Aptos" w:hAnsi="Aptos"/>
        </w:rPr>
        <w:t xml:space="preserve">PlayBoom: guardian account with child profiles and PIN; no face templates; only the guardian buys; the AI Play Buddy says it is an AI.</w:t>
      </w:r>
    </w:p>
    <w:p>
      <w:pPr>
        <w:pStyle w:val="ListParagraph"/>
        <w:numPr>
          <w:ilvl w:val="0"/>
          <w:numId w:val="3"/>
        </w:numPr>
        <w:spacing w:after="60" w:before="0"/>
      </w:pPr>
      <w:r>
        <w:rPr>
          <w:rFonts w:ascii="Aptos" w:cs="Aptos" w:eastAsia="Aptos" w:hAnsi="Aptos"/>
        </w:rPr>
        <w:t xml:space="preserve">NexaTute minors: face verification with guardian consent; no private adult–child chat; no ads or trackers; batch recordings (when one member asks) include other learners' question audio; app-store purchases only with guardian approval.</w:t>
      </w:r>
    </w:p>
    <w:p>
      <w:pPr>
        <w:pStyle w:val="ListParagraph"/>
        <w:numPr>
          <w:ilvl w:val="0"/>
          <w:numId w:val="3"/>
        </w:numPr>
        <w:spacing w:after="60" w:before="0"/>
      </w:pPr>
      <w:r>
        <w:rPr>
          <w:rFonts w:ascii="Aptos" w:cs="Aptos" w:eastAsia="Aptos" w:hAnsi="Aptos"/>
        </w:rPr>
        <w:t xml:space="preserve">Live Quran teachers, mentors and institution teachers may meet children.</w:t>
      </w:r>
    </w:p>
    <w:p>
      <w:pPr>
        <w:pStyle w:val="ListParagraph"/>
        <w:numPr>
          <w:ilvl w:val="0"/>
          <w:numId w:val="3"/>
        </w:numPr>
        <w:spacing w:after="60" w:before="0"/>
      </w:pPr>
      <w:r>
        <w:rPr>
          <w:rFonts w:ascii="Aptos" w:cs="Aptos" w:eastAsia="Aptos" w:hAnsi="Aptos"/>
        </w:rPr>
        <w:t xml:space="preserve">Motion Studio: child-character voices only from paid adult voice artists or synthetic voices; an adult's own clone may sound child-like; never a real child's voice, even with guardian consent. Child characters trigger kids-safe strict filters; kids-safe mode sets YouTube "Made for kids". Cloning and twins are 18+. Zero tolerance for child sexual content, with hash matching and immediate closure.</w:t>
      </w:r>
    </w:p>
    <w:p>
      <w:pPr>
        <w:pStyle w:val="ListParagraph"/>
        <w:numPr>
          <w:ilvl w:val="0"/>
          <w:numId w:val="3"/>
        </w:numPr>
        <w:spacing w:after="60" w:before="0"/>
      </w:pPr>
      <w:r>
        <w:rPr>
          <w:rFonts w:ascii="Aptos" w:cs="Aptos" w:eastAsia="Aptos" w:hAnsi="Aptos"/>
        </w:rPr>
        <w:t xml:space="preserve">A NexaTute "making videos with AI" course leads to a Motion Studio trial; Motion Studio's minimum age is not stated.</w:t>
      </w:r>
    </w:p>
    <w:p>
      <w:pPr>
        <w:pStyle w:val="Heading2"/>
      </w:pPr>
      <w:r>
        <w:rPr>
          <w:rFonts w:ascii="Aptos" w:cs="Aptos" w:eastAsia="Aptos" w:hAnsi="Aptos"/>
        </w:rPr>
        <w:t xml:space="preserve">8.2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83"/>
        <w:gridCol w:w="3951"/>
        <w:gridCol w:w="1572"/>
      </w:tblGrid>
      <w:tr>
        <w:trPr>
          <w:cantSplit/>
          <w:tblHeader/>
        </w:trPr>
        <w:tc>
          <w:tcPr>
            <w:tcW w:type="dxa" w:w="37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39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157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7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Children Act, 2013 (Act No. 24 of 2013), s.4</w:t>
            </w:r>
          </w:p>
        </w:tc>
        <w:tc>
          <w:tcPr>
            <w:tcW w:type="dxa" w:w="3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A child is under 18. Mainly protection and justice; no online-service duty found; protections on identifying children may matter for recordings and showcases</w:t>
            </w:r>
          </w:p>
        </w:tc>
        <w:tc>
          <w:tcPr>
            <w:tcW w:type="dxa" w:w="15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r>
        <w:trPr>
          <w:cantSplit/>
        </w:trPr>
        <w:tc>
          <w:tcPr>
            <w:tcW w:type="dxa" w:w="37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Majority Act, 1875; Contract Act, 1872, s.11</w:t>
            </w:r>
          </w:p>
        </w:tc>
        <w:tc>
          <w:tcPr>
            <w:tcW w:type="dxa" w:w="3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Majority at 18; a minor's agreement is void (Mohori Bibee)</w:t>
            </w:r>
          </w:p>
        </w:tc>
        <w:tc>
          <w:tcPr>
            <w:tcW w:type="dxa" w:w="15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7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Personal Data Protection Act, 2026</w:t>
            </w:r>
          </w:p>
        </w:tc>
        <w:tc>
          <w:tcPr>
            <w:tcW w:type="dxa" w:w="3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 consent; no tracking, profiling or targeted ads directed at children (chapter 6)</w:t>
            </w:r>
          </w:p>
        </w:tc>
        <w:tc>
          <w:tcPr>
            <w:tcW w:type="dxa" w:w="15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37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Cyber Security Ordinance 2025 / Act 2026</w:t>
            </w:r>
          </w:p>
        </w:tc>
        <w:tc>
          <w:tcPr>
            <w:tcW w:type="dxa" w:w="3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Offences for AI-generated child sexual abuse material and sextortion (chapter 9)</w:t>
            </w:r>
          </w:p>
        </w:tc>
        <w:tc>
          <w:tcPr>
            <w:tcW w:type="dxa" w:w="15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(2025 text)</w:t>
            </w:r>
          </w:p>
        </w:tc>
      </w:tr>
      <w:tr>
        <w:trPr>
          <w:cantSplit/>
        </w:trPr>
        <w:tc>
          <w:tcPr>
            <w:tcW w:type="dxa" w:w="37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COPPA</w:t>
            </w:r>
          </w:p>
        </w:tc>
        <w:tc>
          <w:tcPr>
            <w:tcW w:type="dxa" w:w="3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 under-13s (chapter 7)</w:t>
            </w:r>
          </w:p>
        </w:tc>
        <w:tc>
          <w:tcPr>
            <w:tcW w:type="dxa" w:w="15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7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sexual abuse material and reporting duties in Bangladesh (for example the Pornography Control Act, 2012)</w:t>
            </w:r>
          </w:p>
        </w:tc>
        <w:tc>
          <w:tcPr>
            <w:tcW w:type="dxa" w:w="3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researched</w:t>
            </w:r>
          </w:p>
        </w:tc>
        <w:tc>
          <w:tcPr>
            <w:tcW w:type="dxa" w:w="15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bl>
    <w:p>
      <w:pPr>
        <w:spacing w:after="120" w:before="0"/>
      </w:pPr>
    </w:p>
    <w:p>
      <w:pPr>
        <w:pStyle w:val="Heading2"/>
      </w:pPr>
      <w:r>
        <w:rPr>
          <w:rFonts w:ascii="Aptos" w:cs="Aptos" w:eastAsia="Aptos" w:hAnsi="Aptos"/>
        </w:rPr>
        <w:t xml:space="preserve">8.3 Our proposed position</w:t>
      </w:r>
    </w:p>
    <w:p>
      <w:pPr>
        <w:pStyle w:val="ListParagraph"/>
        <w:numPr>
          <w:ilvl w:val="0"/>
          <w:numId w:val="18"/>
        </w:numPr>
        <w:spacing w:after="60" w:before="0"/>
      </w:pPr>
      <w:r>
        <w:rPr>
          <w:rFonts w:ascii="Aptos" w:cs="Aptos" w:eastAsia="Aptos" w:hAnsi="Aptos"/>
        </w:rPr>
        <w:t xml:space="preserve">The guardian is the contracting party and buyer for every under-18 learner; the child is a profile under the guardian's account. A short child-friendly explanation is shown to the learner (assent, not consent).</w:t>
      </w:r>
    </w:p>
    <w:p>
      <w:pPr>
        <w:pStyle w:val="ListParagraph"/>
        <w:numPr>
          <w:ilvl w:val="0"/>
          <w:numId w:val="18"/>
        </w:numPr>
        <w:spacing w:after="60" w:before="0"/>
      </w:pPr>
      <w:r>
        <w:rPr>
          <w:rFonts w:ascii="Aptos" w:cs="Aptos" w:eastAsia="Aptos" w:hAnsi="Aptos"/>
        </w:rPr>
        <w:t xml:space="preserve">Guardian consent per feature (learning, recordings, face verification, anonymised AI training, institution sharing, MindForge sharing), recorded with version and time. OTP plus an adult declaration unless the lawyer requires stronger verification.</w:t>
      </w:r>
    </w:p>
    <w:p>
      <w:pPr>
        <w:pStyle w:val="ListParagraph"/>
        <w:numPr>
          <w:ilvl w:val="0"/>
          <w:numId w:val="18"/>
        </w:numPr>
        <w:spacing w:after="60" w:before="0"/>
      </w:pPr>
      <w:r>
        <w:rPr>
          <w:rFonts w:ascii="Aptos" w:cs="Aptos" w:eastAsia="Aptos" w:hAnsi="Aptos"/>
        </w:rPr>
        <w:t xml:space="preserve">Institutions confirm in their agreement that they hold guardian consent and produce it on request.</w:t>
      </w:r>
    </w:p>
    <w:p>
      <w:pPr>
        <w:pStyle w:val="ListParagraph"/>
        <w:numPr>
          <w:ilvl w:val="0"/>
          <w:numId w:val="18"/>
        </w:numPr>
        <w:spacing w:after="60" w:before="0"/>
      </w:pPr>
      <w:r>
        <w:rPr>
          <w:rFonts w:ascii="Aptos" w:cs="Aptos" w:eastAsia="Aptos" w:hAnsi="Aptos"/>
        </w:rPr>
        <w:t xml:space="preserve">No profiling, engagement intelligence or personalised or cross-product offers for under-18 learners; face verification off for them (chapter 6). The "making videos with AI" course shows the Motion Studio offer only to learners aged 18 or over (default, editable).</w:t>
      </w:r>
    </w:p>
    <w:p>
      <w:pPr>
        <w:pStyle w:val="ListParagraph"/>
        <w:numPr>
          <w:ilvl w:val="0"/>
          <w:numId w:val="18"/>
        </w:numPr>
        <w:spacing w:after="60" w:before="0"/>
      </w:pPr>
      <w:r>
        <w:rPr>
          <w:rFonts w:ascii="Aptos" w:cs="Aptos" w:eastAsia="Aptos" w:hAnsi="Aptos"/>
        </w:rPr>
        <w:t xml:space="preserve">Batch recordings: learners whose guardians have not consented are not captured (audio muted, name hidden) (default, editable).</w:t>
      </w:r>
    </w:p>
    <w:p>
      <w:pPr>
        <w:pStyle w:val="ListParagraph"/>
        <w:numPr>
          <w:ilvl w:val="0"/>
          <w:numId w:val="18"/>
        </w:numPr>
        <w:spacing w:after="60" w:before="0"/>
      </w:pPr>
      <w:r>
        <w:rPr>
          <w:rFonts w:ascii="Aptos" w:cs="Aptos" w:eastAsia="Aptos" w:hAnsi="Aptos"/>
        </w:rPr>
        <w:t xml:space="preserve">Staff and teachers with access to children: safeguarding code, identity and reference checks, police verification where lawful [lawyer to confirm], logged sessions, no off-platform contact.</w:t>
      </w:r>
    </w:p>
    <w:p>
      <w:pPr>
        <w:pStyle w:val="ListParagraph"/>
        <w:numPr>
          <w:ilvl w:val="0"/>
          <w:numId w:val="18"/>
        </w:numPr>
        <w:spacing w:after="60" w:before="0"/>
      </w:pPr>
      <w:r>
        <w:rPr>
          <w:rFonts w:ascii="Aptos" w:cs="Aptos" w:eastAsia="Aptos" w:hAnsi="Aptos"/>
        </w:rPr>
        <w:t xml:space="preserve">Showcases and leaderboards show first name and initial only unless the guardian agrees (default, editable).</w:t>
      </w:r>
    </w:p>
    <w:p>
      <w:pPr>
        <w:pStyle w:val="ListParagraph"/>
        <w:numPr>
          <w:ilvl w:val="0"/>
          <w:numId w:val="18"/>
        </w:numPr>
        <w:spacing w:after="60" w:before="0"/>
      </w:pPr>
      <w:r>
        <w:rPr>
          <w:rFonts w:ascii="Aptos" w:cs="Aptos" w:eastAsia="Aptos" w:hAnsi="Aptos"/>
        </w:rPr>
        <w:t xml:space="preserve">Motion Studio accounts are 18+ only (default, editable).</w:t>
      </w:r>
    </w:p>
    <w:p>
      <w:pPr>
        <w:pStyle w:val="ListParagraph"/>
        <w:numPr>
          <w:ilvl w:val="0"/>
          <w:numId w:val="18"/>
        </w:numPr>
        <w:spacing w:after="60" w:before="0"/>
      </w:pPr>
      <w:r>
        <w:rPr>
          <w:rFonts w:ascii="Aptos" w:cs="Aptos" w:eastAsia="Aptos" w:hAnsi="Aptos"/>
        </w:rPr>
        <w:t xml:space="preserve">Real children in Motion Studio uploads: only in the client's own real footage, with the client's written warranty of guardian consent; real children's faces or voices are never animated, cloned, twinned or altered by AI (default, editable) [lawyer to confirm].</w:t>
      </w:r>
    </w:p>
    <w:p>
      <w:pPr>
        <w:pStyle w:val="ListParagraph"/>
        <w:numPr>
          <w:ilvl w:val="0"/>
          <w:numId w:val="18"/>
        </w:numPr>
        <w:spacing w:after="60" w:before="0"/>
      </w:pPr>
      <w:r>
        <w:rPr>
          <w:rFonts w:ascii="Aptos" w:cs="Aptos" w:eastAsia="Aptos" w:hAnsi="Aptos"/>
        </w:rPr>
        <w:t xml:space="preserve">Child sexual abuse material: blocked by hash matching and classifiers; account closed; evidence preserved without staff viewing; reported to the authority the lawyer names; no notice to the account holder.</w:t>
      </w:r>
    </w:p>
    <w:p>
      <w:pPr>
        <w:pStyle w:val="Heading2"/>
      </w:pPr>
      <w:r>
        <w:rPr>
          <w:rFonts w:ascii="Aptos" w:cs="Aptos" w:eastAsia="Aptos" w:hAnsi="Aptos"/>
        </w:rPr>
        <w:t xml:space="preserve">8.4 Risks if wrong</w:t>
      </w:r>
    </w:p>
    <w:p>
      <w:pPr>
        <w:pStyle w:val="ListParagraph"/>
        <w:numPr>
          <w:ilvl w:val="0"/>
          <w:numId w:val="3"/>
        </w:numPr>
        <w:spacing w:after="60" w:before="0"/>
      </w:pPr>
      <w:r>
        <w:rPr>
          <w:rFonts w:ascii="Aptos" w:cs="Aptos" w:eastAsia="Aptos" w:hAnsi="Aptos"/>
        </w:rPr>
        <w:t xml:space="preserve">Void contracts with minors (refunds, unenforceable terms); children's-data offences.</w:t>
      </w:r>
    </w:p>
    <w:p>
      <w:pPr>
        <w:pStyle w:val="ListParagraph"/>
        <w:numPr>
          <w:ilvl w:val="0"/>
          <w:numId w:val="3"/>
        </w:numPr>
        <w:spacing w:after="60" w:before="0"/>
      </w:pPr>
      <w:r>
        <w:rPr>
          <w:rFonts w:ascii="Aptos" w:cs="Aptos" w:eastAsia="Aptos" w:hAnsi="Aptos"/>
        </w:rPr>
        <w:t xml:space="preserve">Harm to a child through staff or users; AI sexual content involving a child if controls fail; family claims over a real child's likeness.</w:t>
      </w:r>
    </w:p>
    <w:p>
      <w:pPr>
        <w:pStyle w:val="Heading2"/>
      </w:pPr>
      <w:r>
        <w:rPr>
          <w:rFonts w:ascii="Aptos" w:cs="Aptos" w:eastAsia="Aptos" w:hAnsi="Aptos"/>
        </w:rPr>
        <w:t xml:space="preserve">8.5 Questions for the lawyer</w:t>
      </w:r>
    </w:p>
    <w:p>
      <w:pPr>
        <w:pStyle w:val="ListParagraph"/>
        <w:numPr>
          <w:ilvl w:val="0"/>
          <w:numId w:val="19"/>
        </w:numPr>
        <w:spacing w:after="60" w:before="0"/>
      </w:pPr>
      <w:r>
        <w:rPr>
          <w:rFonts w:ascii="Aptos" w:cs="Aptos" w:eastAsia="Aptos" w:hAnsi="Aptos"/>
        </w:rPr>
        <w:t xml:space="preserve">Is the guardian-as-buyer model sound under the Contract Act 1872 for all paid services?</w:t>
      </w:r>
    </w:p>
    <w:p>
      <w:pPr>
        <w:pStyle w:val="ListParagraph"/>
        <w:numPr>
          <w:ilvl w:val="0"/>
          <w:numId w:val="19"/>
        </w:numPr>
        <w:spacing w:after="60" w:before="0"/>
      </w:pPr>
      <w:r>
        <w:rPr>
          <w:rFonts w:ascii="Aptos" w:cs="Aptos" w:eastAsia="Aptos" w:hAnsi="Aptos"/>
        </w:rPr>
        <w:t xml:space="preserve">Is a guardian OTP plus an adult declaration enough, or is identity verification (for example NID) needed?</w:t>
      </w:r>
    </w:p>
    <w:p>
      <w:pPr>
        <w:pStyle w:val="ListParagraph"/>
        <w:numPr>
          <w:ilvl w:val="0"/>
          <w:numId w:val="19"/>
        </w:numPr>
        <w:spacing w:after="60" w:before="0"/>
      </w:pPr>
      <w:r>
        <w:rPr>
          <w:rFonts w:ascii="Aptos" w:cs="Aptos" w:eastAsia="Aptos" w:hAnsi="Aptos"/>
        </w:rPr>
        <w:t xml:space="preserve">May 16–17-year-olds use free features before guardian confirmation?</w:t>
      </w:r>
    </w:p>
    <w:p>
      <w:pPr>
        <w:pStyle w:val="ListParagraph"/>
        <w:numPr>
          <w:ilvl w:val="0"/>
          <w:numId w:val="19"/>
        </w:numPr>
        <w:spacing w:after="60" w:before="0"/>
      </w:pPr>
      <w:r>
        <w:rPr>
          <w:rFonts w:ascii="Aptos" w:cs="Aptos" w:eastAsia="Aptos" w:hAnsi="Aptos"/>
        </w:rPr>
        <w:t xml:space="preserve">To whom, how fast and in what form must child sexual abuse material be reported in Bangladesh, and what may be kept as evidence?</w:t>
      </w:r>
    </w:p>
    <w:p>
      <w:pPr>
        <w:pStyle w:val="ListParagraph"/>
        <w:numPr>
          <w:ilvl w:val="0"/>
          <w:numId w:val="19"/>
        </w:numPr>
        <w:spacing w:after="60" w:before="0"/>
      </w:pPr>
      <w:r>
        <w:rPr>
          <w:rFonts w:ascii="Aptos" w:cs="Aptos" w:eastAsia="Aptos" w:hAnsi="Aptos"/>
        </w:rPr>
        <w:t xml:space="preserve">Are police verification or background checks on teachers and staff lawful and advisable?</w:t>
      </w:r>
    </w:p>
    <w:p>
      <w:pPr>
        <w:pStyle w:val="ListParagraph"/>
        <w:numPr>
          <w:ilvl w:val="0"/>
          <w:numId w:val="19"/>
        </w:numPr>
        <w:spacing w:after="60" w:before="0"/>
      </w:pPr>
      <w:r>
        <w:rPr>
          <w:rFonts w:ascii="Aptos" w:cs="Aptos" w:eastAsia="Aptos" w:hAnsi="Aptos"/>
        </w:rPr>
        <w:t xml:space="preserve">Do batch recordings that capture other children need each guardian's consent?</w:t>
      </w:r>
    </w:p>
    <w:p>
      <w:pPr>
        <w:pStyle w:val="ListParagraph"/>
        <w:numPr>
          <w:ilvl w:val="0"/>
          <w:numId w:val="19"/>
        </w:numPr>
        <w:spacing w:after="60" w:before="0"/>
      </w:pPr>
      <w:r>
        <w:rPr>
          <w:rFonts w:ascii="Aptos" w:cs="Aptos" w:eastAsia="Aptos" w:hAnsi="Aptos"/>
        </w:rPr>
        <w:t xml:space="preserve">May real children appear in client-uploaded real footage on the client's warranty of guardian consent?</w:t>
      </w:r>
    </w:p>
    <w:p>
      <w:pPr>
        <w:pStyle w:val="ListParagraph"/>
        <w:numPr>
          <w:ilvl w:val="0"/>
          <w:numId w:val="19"/>
        </w:numPr>
        <w:spacing w:after="60" w:before="0"/>
      </w:pPr>
      <w:r>
        <w:rPr>
          <w:rFonts w:ascii="Aptos" w:cs="Aptos" w:eastAsia="Aptos" w:hAnsi="Aptos"/>
        </w:rPr>
        <w:t xml:space="preserve">Should Motion Studio be 18+ only, or allow 13–17 with guardian consent for non-cloning features?</w:t>
      </w:r>
    </w:p>
    <w:p>
      <w:pPr>
        <w:pStyle w:val="Heading2"/>
      </w:pPr>
      <w:r>
        <w:rPr>
          <w:rFonts w:ascii="Aptos" w:cs="Aptos" w:eastAsia="Aptos" w:hAnsi="Aptos"/>
        </w:rPr>
        <w:t xml:space="preserve">8.6 Documents and actions needed</w:t>
      </w:r>
    </w:p>
    <w:p>
      <w:pPr>
        <w:pStyle w:val="ListParagraph"/>
        <w:numPr>
          <w:ilvl w:val="0"/>
          <w:numId w:val="3"/>
        </w:numPr>
        <w:spacing w:after="60" w:before="0"/>
      </w:pPr>
      <w:r>
        <w:rPr>
          <w:rFonts w:ascii="Aptos" w:cs="Aptos" w:eastAsia="Aptos" w:hAnsi="Aptos"/>
        </w:rPr>
        <w:t xml:space="preserve">Guardian consent form and child-friendly explanation; institution consent clause.</w:t>
      </w:r>
    </w:p>
    <w:p>
      <w:pPr>
        <w:pStyle w:val="ListParagraph"/>
        <w:numPr>
          <w:ilvl w:val="0"/>
          <w:numId w:val="3"/>
        </w:numPr>
        <w:spacing w:after="60" w:before="0"/>
      </w:pPr>
      <w:r>
        <w:rPr>
          <w:rFonts w:ascii="Aptos" w:cs="Aptos" w:eastAsia="Aptos" w:hAnsi="Aptos"/>
        </w:rPr>
        <w:t xml:space="preserve">Safeguarding policy and staff code; CSAM procedure; Motion Studio 18+ rule; PlayBoom legal check before its Free Beta.</w:t>
      </w:r>
    </w:p>
    <w:p>
      <w:pPr>
        <w:pStyle w:val="Heading1"/>
        <w:pageBreakBefore/>
      </w:pPr>
      <w:r>
        <w:rPr>
          <w:rFonts w:ascii="Aptos" w:cs="Aptos" w:eastAsia="Aptos" w:hAnsi="Aptos"/>
        </w:rPr>
        <w:t xml:space="preserve">9. AI-Generated Content, Likeness and Transparency</w:t>
      </w:r>
    </w:p>
    <w:p>
      <w:pPr>
        <w:spacing w:after="140" w:before="0" w:line="288"/>
      </w:pPr>
      <w:r>
        <w:rPr>
          <w:rFonts w:ascii="Aptos" w:cs="Aptos" w:eastAsia="Aptos" w:hAnsi="Aptos"/>
        </w:rPr>
        <w:t xml:space="preserve">Covers deepfakes, voice and face cloning, digital twins, stock presenters, AI labels, and the offences and duties attaching to AI output in Bangladesh, the USA, the EU and on platforms. Mainly Motion Studio; NexaTute for AI-interaction notices.</w:t>
      </w:r>
    </w:p>
    <w:p>
      <w:pPr>
        <w:pStyle w:val="Heading2"/>
      </w:pPr>
      <w:r>
        <w:rPr>
          <w:rFonts w:ascii="Aptos" w:cs="Aptos" w:eastAsia="Aptos" w:hAnsi="Aptos"/>
        </w:rPr>
        <w:t xml:space="preserve">9.1 Facts</w:t>
      </w:r>
    </w:p>
    <w:p>
      <w:pPr>
        <w:pStyle w:val="ListParagraph"/>
        <w:numPr>
          <w:ilvl w:val="0"/>
          <w:numId w:val="3"/>
        </w:numPr>
        <w:spacing w:after="60" w:before="0"/>
      </w:pPr>
      <w:r>
        <w:rPr>
          <w:rFonts w:ascii="Aptos" w:cs="Aptos" w:eastAsia="Aptos" w:hAnsi="Aptos"/>
        </w:rPr>
        <w:t xml:space="preserve">Voice Clone Studio (in app only): live consent sentence (date, account name, "I consent") plus OTP, about 3 minutes of reading, speaker verification against the consent voice; no cloning from WhatsApp or Messenger voice notes.</w:t>
      </w:r>
    </w:p>
    <w:p>
      <w:pPr>
        <w:pStyle w:val="ListParagraph"/>
        <w:numPr>
          <w:ilvl w:val="0"/>
          <w:numId w:val="3"/>
        </w:numPr>
        <w:spacing w:after="60" w:before="0"/>
      </w:pPr>
      <w:r>
        <w:rPr>
          <w:rFonts w:ascii="Aptos" w:cs="Aptos" w:eastAsia="Aptos" w:hAnsi="Aptos"/>
        </w:rPr>
        <w:t xml:space="preserve">Whose voice: the client's own, or another adult's with direct consent (OTP on their own phone). Not allowed: under-18s; politicians, celebrities or religious figures without written-permission proof; deceased persons without the heirs' permission. Use only in the account that made it; never for political speech, money requests, fraud or obscene content.</w:t>
      </w:r>
    </w:p>
    <w:p>
      <w:pPr>
        <w:pStyle w:val="ListParagraph"/>
        <w:numPr>
          <w:ilvl w:val="0"/>
          <w:numId w:val="3"/>
        </w:numPr>
        <w:spacing w:after="60" w:before="0"/>
      </w:pPr>
      <w:r>
        <w:rPr>
          <w:rFonts w:ascii="Aptos" w:cs="Aptos" w:eastAsia="Aptos" w:hAnsi="Aptos"/>
        </w:rPr>
        <w:t xml:space="preserve">Withdrawal: no new renders at once; model deleted within 72 hours; consent records kept 3 years after deletion; already delivered videos remain the creator's responsibility.</w:t>
      </w:r>
    </w:p>
    <w:p>
      <w:pPr>
        <w:pStyle w:val="ListParagraph"/>
        <w:numPr>
          <w:ilvl w:val="0"/>
          <w:numId w:val="3"/>
        </w:numPr>
        <w:spacing w:after="60" w:before="0"/>
      </w:pPr>
      <w:r>
        <w:rPr>
          <w:rFonts w:ascii="Aptos" w:cs="Aptos" w:eastAsia="Aptos" w:hAnsi="Aptos"/>
        </w:rPr>
        <w:t xml:space="preserve">Digital-twin presenter: own face only, about 2 minutes of video (never one selfie), live consent and OTP, 18+, watermark. Also webcam acting transfer (own face), live avatar streaming for Enterprise (AI-labelled), diaspora video messages. Any real person's face needs that person's consent and OTP; photo-real public figures blocked without proof of permission.</w:t>
      </w:r>
    </w:p>
    <w:p>
      <w:pPr>
        <w:pStyle w:val="ListParagraph"/>
        <w:numPr>
          <w:ilvl w:val="0"/>
          <w:numId w:val="3"/>
        </w:numPr>
        <w:spacing w:after="60" w:before="0"/>
      </w:pPr>
      <w:r>
        <w:rPr>
          <w:rFonts w:ascii="Aptos" w:cs="Aptos" w:eastAsia="Aptos" w:hAnsi="Aptos"/>
        </w:rPr>
        <w:t xml:space="preserve">Stock presenters from paid, consenting actors with releases; stock clips sold with model releases. Re-check (passkey) before clone, twin, publish or large spend.</w:t>
      </w:r>
    </w:p>
    <w:p>
      <w:pPr>
        <w:pStyle w:val="ListParagraph"/>
        <w:numPr>
          <w:ilvl w:val="0"/>
          <w:numId w:val="3"/>
        </w:numPr>
        <w:spacing w:after="60" w:before="0"/>
      </w:pPr>
      <w:r>
        <w:rPr>
          <w:rFonts w:ascii="Aptos" w:cs="Aptos" w:eastAsia="Aptos" w:hAnsi="Aptos"/>
        </w:rPr>
        <w:t xml:space="preserve">Clone, twin and face acting reach users only after the lawyer's check (owner, 30 October 2026). Not offered: talking photos from one picture; AI testimonial videos.</w:t>
      </w:r>
    </w:p>
    <w:p>
      <w:pPr>
        <w:pStyle w:val="ListParagraph"/>
        <w:numPr>
          <w:ilvl w:val="0"/>
          <w:numId w:val="3"/>
        </w:numPr>
        <w:spacing w:after="60" w:before="0"/>
      </w:pPr>
      <w:r>
        <w:rPr>
          <w:rFonts w:ascii="Aptos" w:cs="Aptos" w:eastAsia="Aptos" w:hAnsi="Aptos"/>
        </w:rPr>
        <w:t xml:space="preserve">Labels: C2PA on every export; AudioSeal on cloned-voice audio; invisible re-upload watermark; visible watermark on free output; automatic platform AI-disclosure ticks; "Made with AI" / "AI voice" labels. Verification tool checks only the company's own marks.</w:t>
      </w:r>
    </w:p>
    <w:p>
      <w:pPr>
        <w:pStyle w:val="ListParagraph"/>
        <w:numPr>
          <w:ilvl w:val="0"/>
          <w:numId w:val="3"/>
        </w:numPr>
        <w:spacing w:after="60" w:before="0"/>
      </w:pPr>
      <w:r>
        <w:rPr>
          <w:rFonts w:ascii="Aptos" w:cs="Aptos" w:eastAsia="Aptos" w:hAnsi="Aptos"/>
        </w:rPr>
        <w:t xml:space="preserve">AI Co-Director: general information only on medical, legal and financial topics. NexaTute's AI tutor, Play Buddy and Co-Admin always say they are AI.</w:t>
      </w:r>
    </w:p>
    <w:p>
      <w:pPr>
        <w:pStyle w:val="Heading2"/>
      </w:pPr>
      <w:r>
        <w:rPr>
          <w:rFonts w:ascii="Aptos" w:cs="Aptos" w:eastAsia="Aptos" w:hAnsi="Aptos"/>
        </w:rPr>
        <w:t xml:space="preserve">9.2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4091"/>
        <w:gridCol w:w="2113"/>
      </w:tblGrid>
      <w:tr>
        <w:trPr>
          <w:cantSplit/>
          <w:tblHeader/>
        </w:trPr>
        <w:tc>
          <w:tcPr>
            <w:tcW w:type="dxa" w:w="310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40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21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Cyber Security Ordinance, 2025 (No. 25 of 2025, gazetted 21 May 2025)</w:t>
            </w:r>
          </w:p>
        </w:tc>
        <w:tc>
          <w:tcPr>
            <w:tcW w:type="dxa" w:w="40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Repealed the 2023 Act; annulled nine sections (21, 24–29, 31, 34) including defamation, identity fraud/impersonation (s.24), hurting religious sentiment and false content. Added AI-enabled crime: AI content for blackmail, sextortion, sexual harassment, revenge porn or child sexual abuse material; AI attacks on critical infrastructure. Up to 10 years and Tk 1 crore; owners, directors and officers liable for company offences; extraterritorial</w:t>
            </w:r>
          </w:p>
        </w:tc>
        <w:tc>
          <w:tcPr>
            <w:tcW w:type="dxa" w:w="21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Cyber Security Act, 2026 and the June 2026 amendment</w:t>
            </w:r>
          </w:p>
        </w:tc>
        <w:tc>
          <w:tcPr>
            <w:tcW w:type="dxa" w:w="40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Act passed 10 April 2026 (Gazette not seen). Amendment reports conflict: only deleting s.20 (gambling), or adding AI-content takedown deadlines, misinformation and defamation definitions, BTRC blocking and data-demand powers. September 2026 defamation and rumour drafts not enacted</w:t>
            </w:r>
          </w:p>
        </w:tc>
        <w:tc>
          <w:tcPr>
            <w:tcW w:type="dxa" w:w="21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 / low [lawyer to confirm]</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Penal Code, 1860, ss.499–500</w:t>
            </w:r>
          </w:p>
        </w:tc>
        <w:tc>
          <w:tcPr>
            <w:tcW w:type="dxa" w:w="40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Defamation remains</w:t>
            </w:r>
          </w:p>
        </w:tc>
        <w:tc>
          <w:tcPr>
            <w:tcW w:type="dxa" w:w="21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Tennessee ELVIS Act (1 July 2024)</w:t>
            </w:r>
          </w:p>
        </w:tc>
        <w:tc>
          <w:tcPr>
            <w:tcW w:type="dxa" w:w="40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in the publicity right, including AI; liability also for making available tools whose purpose is producing someone's voice or likeness without authorisation</w:t>
            </w:r>
          </w:p>
        </w:tc>
        <w:tc>
          <w:tcPr>
            <w:tcW w:type="dxa" w:w="21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California AB 2602 and AB 1836 (1 January 2025)</w:t>
            </w:r>
          </w:p>
        </w:tc>
        <w:tc>
          <w:tcPr>
            <w:tcW w:type="dxa" w:w="40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Digital-replica clauses in performer contracts unenforceable without specific description and representation; liability for replicas of deceased personalities without estate consent</w:t>
            </w:r>
          </w:p>
        </w:tc>
        <w:tc>
          <w:tcPr>
            <w:tcW w:type="dxa" w:w="21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FAKES Act of 2026</w:t>
            </w:r>
          </w:p>
        </w:tc>
        <w:tc>
          <w:tcPr>
            <w:tcW w:type="dxa" w:w="40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Introduced 20 May 2026; passed Senate Judiciary Committee; not enacted; would add a federal likeness right and notice-and-takedown</w:t>
            </w:r>
          </w:p>
        </w:tc>
        <w:tc>
          <w:tcPr>
            <w:tcW w:type="dxa" w:w="21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(status)</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 AI Act, Art. 50 (Regulation (EU) 2024/1689)</w:t>
            </w:r>
          </w:p>
        </w:tc>
        <w:tc>
          <w:tcPr>
            <w:tcW w:type="dxa" w:w="40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Applies since 2 August 2026; the Digital Omnibus (Regulation (EU) 2026/1744) kept this date. Grace to 2 December 2026 for 50(2) marking only for systems on the market before 2 August 2026 — not Motion Studio. 50(1): tell users they deal with AI from the first interaction. 50(2): machine-readable, robust, interoperable marking of generated audio, image, video and text. 50(4): deployers visibly label deepfakes (lighter for evident art or satire) and disclose AI text on public-interest matters unless human-edited under editorial responsibility; the provider's hidden mark alone is not enough. Covers non-EU providers and deployers whose output is used in the EU. Fines up to €15 million or 3%. Commission guidelines (20 July 2026) and a voluntary Code of Practice (31 July 2026)</w:t>
            </w:r>
          </w:p>
        </w:tc>
        <w:tc>
          <w:tcPr>
            <w:tcW w:type="dxa" w:w="21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AI labels</w:t>
            </w:r>
          </w:p>
        </w:tc>
        <w:tc>
          <w:tcPr>
            <w:tcW w:type="dxa" w:w="40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Meta, TikTok disclosure rules (chapter 11)</w:t>
            </w:r>
          </w:p>
        </w:tc>
        <w:tc>
          <w:tcPr>
            <w:tcW w:type="dxa" w:w="21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bl>
    <w:p>
      <w:pPr>
        <w:spacing w:after="120" w:before="0"/>
      </w:pPr>
    </w:p>
    <w:p>
      <w:pPr>
        <w:pStyle w:val="Heading2"/>
      </w:pPr>
      <w:r>
        <w:rPr>
          <w:rFonts w:ascii="Aptos" w:cs="Aptos" w:eastAsia="Aptos" w:hAnsi="Aptos"/>
        </w:rPr>
        <w:t xml:space="preserve">9.3 Our proposed position</w:t>
      </w:r>
    </w:p>
    <w:p>
      <w:pPr>
        <w:pStyle w:val="ListParagraph"/>
        <w:numPr>
          <w:ilvl w:val="0"/>
          <w:numId w:val="20"/>
        </w:numPr>
        <w:spacing w:after="60" w:before="0"/>
      </w:pPr>
      <w:r>
        <w:rPr>
          <w:rFonts w:ascii="Aptos" w:cs="Aptos" w:eastAsia="Aptos" w:hAnsi="Aptos"/>
        </w:rPr>
        <w:t xml:space="preserve">Keep the adopted consent framework; it is the core control under every law above.</w:t>
      </w:r>
    </w:p>
    <w:p>
      <w:pPr>
        <w:pStyle w:val="ListParagraph"/>
        <w:numPr>
          <w:ilvl w:val="0"/>
          <w:numId w:val="20"/>
        </w:numPr>
        <w:spacing w:after="60" w:before="0"/>
      </w:pPr>
      <w:r>
        <w:rPr>
          <w:rFonts w:ascii="Aptos" w:cs="Aptos" w:eastAsia="Aptos" w:hAnsi="Aptos"/>
        </w:rPr>
        <w:t xml:space="preserve">At Free Beta and paid launch, offer only own-voice and own-face cloning. Third-party cloning switches on only after the lawyer approves a third-party consent form and a licence template (scope: purpose, duration, channels, languages), plus an identity and age check of the third party with the ID image deleted after checking (default, editable) [lawyer to confirm].</w:t>
      </w:r>
    </w:p>
    <w:p>
      <w:pPr>
        <w:pStyle w:val="ListParagraph"/>
        <w:numPr>
          <w:ilvl w:val="0"/>
          <w:numId w:val="20"/>
        </w:numPr>
        <w:spacing w:after="60" w:before="0"/>
      </w:pPr>
      <w:r>
        <w:rPr>
          <w:rFonts w:ascii="Aptos" w:cs="Aptos" w:eastAsia="Aptos" w:hAnsi="Aptos"/>
        </w:rPr>
        <w:t xml:space="preserve">Deceased persons: off until the lawyer defines the evidence of heirs' permission (for example all legal heirs in writing or a succession certificate) (default, editable).</w:t>
      </w:r>
    </w:p>
    <w:p>
      <w:pPr>
        <w:pStyle w:val="ListParagraph"/>
        <w:numPr>
          <w:ilvl w:val="0"/>
          <w:numId w:val="20"/>
        </w:numPr>
        <w:spacing w:after="60" w:before="0"/>
      </w:pPr>
      <w:r>
        <w:rPr>
          <w:rFonts w:ascii="Aptos" w:cs="Aptos" w:eastAsia="Aptos" w:hAnsi="Aptos"/>
        </w:rPr>
        <w:t xml:space="preserve">Public figures, politicians and religious figures: blocked unless written permission is uploaded and a reviewer approves; never during election periods set in admin (default, editable).</w:t>
      </w:r>
    </w:p>
    <w:p>
      <w:pPr>
        <w:pStyle w:val="ListParagraph"/>
        <w:numPr>
          <w:ilvl w:val="0"/>
          <w:numId w:val="20"/>
        </w:numPr>
        <w:spacing w:after="60" w:before="0"/>
      </w:pPr>
      <w:r>
        <w:rPr>
          <w:rFonts w:ascii="Aptos" w:cs="Aptos" w:eastAsia="Aptos" w:hAnsi="Aptos"/>
        </w:rPr>
        <w:t xml:space="preserve">On withdrawal, the client must stop further publishing of affected videos within 7 days of the owner's request (default, editable) [lawyer to confirm how far published videos must come down].</w:t>
      </w:r>
    </w:p>
    <w:p>
      <w:pPr>
        <w:pStyle w:val="ListParagraph"/>
        <w:numPr>
          <w:ilvl w:val="0"/>
          <w:numId w:val="20"/>
        </w:numPr>
        <w:spacing w:after="60" w:before="0"/>
      </w:pPr>
      <w:r>
        <w:rPr>
          <w:rFonts w:ascii="Aptos" w:cs="Aptos" w:eastAsia="Aptos" w:hAnsi="Aptos"/>
        </w:rPr>
        <w:t xml:space="preserve">Terms forbid removing watermarks or C2PA data; breach means immediate suspension.</w:t>
      </w:r>
    </w:p>
    <w:p>
      <w:pPr>
        <w:pStyle w:val="ListParagraph"/>
        <w:numPr>
          <w:ilvl w:val="0"/>
          <w:numId w:val="20"/>
        </w:numPr>
        <w:spacing w:after="60" w:before="0"/>
      </w:pPr>
      <w:r>
        <w:rPr>
          <w:rFonts w:ascii="Aptos" w:cs="Aptos" w:eastAsia="Aptos" w:hAnsi="Aptos"/>
        </w:rPr>
        <w:t xml:space="preserve">EU AI Act: C2PA and watermarks on every export from the first public output, including Free Beta; a visible "AI-generated" label option, on by default for realistic human likeness (default, editable); platform disclosure set automatically when Motion Studio publishes; clients told at export of their own deployer duty to label deepfakes.</w:t>
      </w:r>
    </w:p>
    <w:p>
      <w:pPr>
        <w:pStyle w:val="ListParagraph"/>
        <w:numPr>
          <w:ilvl w:val="0"/>
          <w:numId w:val="20"/>
        </w:numPr>
        <w:spacing w:after="60" w:before="0"/>
      </w:pPr>
      <w:r>
        <w:rPr>
          <w:rFonts w:ascii="Aptos" w:cs="Aptos" w:eastAsia="Aptos" w:hAnsi="Aptos"/>
        </w:rPr>
        <w:t xml:space="preserve">AI text exported for publication (scripts, captions, faceless autopilot) carries an AI-assisted marker where technically possible [international lawyer to confirm what 50(2) requires for text].</w:t>
      </w:r>
    </w:p>
    <w:p>
      <w:pPr>
        <w:pStyle w:val="ListParagraph"/>
        <w:numPr>
          <w:ilvl w:val="0"/>
          <w:numId w:val="20"/>
        </w:numPr>
        <w:spacing w:after="60" w:before="0"/>
      </w:pPr>
      <w:r>
        <w:rPr>
          <w:rFonts w:ascii="Aptos" w:cs="Aptos" w:eastAsia="Aptos" w:hAnsi="Aptos"/>
        </w:rPr>
        <w:t xml:space="preserve">Every AI chat and tutor states it is an AI on its first screen, in the user's language.</w:t>
      </w:r>
    </w:p>
    <w:p>
      <w:pPr>
        <w:pStyle w:val="ListParagraph"/>
        <w:numPr>
          <w:ilvl w:val="0"/>
          <w:numId w:val="20"/>
        </w:numPr>
        <w:spacing w:after="60" w:before="0"/>
      </w:pPr>
      <w:r>
        <w:rPr>
          <w:rFonts w:ascii="Aptos" w:cs="Aptos" w:eastAsia="Aptos" w:hAnsi="Aptos"/>
        </w:rPr>
        <w:t xml:space="preserve">Voice-artist and presenter releases expressly cover AI synthesis, emotions, languages, derived voices and sale to clients, with independent advice offered (chapter 13).</w:t>
      </w:r>
    </w:p>
    <w:p>
      <w:pPr>
        <w:pStyle w:val="Heading2"/>
      </w:pPr>
      <w:r>
        <w:rPr>
          <w:rFonts w:ascii="Aptos" w:cs="Aptos" w:eastAsia="Aptos" w:hAnsi="Aptos"/>
        </w:rPr>
        <w:t xml:space="preserve">9.4 Risks if wrong</w:t>
      </w:r>
    </w:p>
    <w:p>
      <w:pPr>
        <w:pStyle w:val="ListParagraph"/>
        <w:numPr>
          <w:ilvl w:val="0"/>
          <w:numId w:val="3"/>
        </w:numPr>
        <w:spacing w:after="60" w:before="0"/>
      </w:pPr>
      <w:r>
        <w:rPr>
          <w:rFonts w:ascii="Aptos" w:cs="Aptos" w:eastAsia="Aptos" w:hAnsi="Aptos"/>
        </w:rPr>
        <w:t xml:space="preserve">Bangladesh: officers' criminal exposure if clones are misused and controls failed; defamation claims. USA: ELVIS Act "tool" liability; unenforceable performer contracts. EU: up to €15 million or 3%. Platforms: forced labels, demonetisation, lost API access. One viral misuse can end the product.</w:t>
      </w:r>
    </w:p>
    <w:p>
      <w:pPr>
        <w:pStyle w:val="Heading2"/>
      </w:pPr>
      <w:r>
        <w:rPr>
          <w:rFonts w:ascii="Aptos" w:cs="Aptos" w:eastAsia="Aptos" w:hAnsi="Aptos"/>
        </w:rPr>
        <w:t xml:space="preserve">9.5 Questions for the lawyer</w:t>
      </w:r>
    </w:p>
    <w:p>
      <w:pPr>
        <w:pStyle w:val="ListParagraph"/>
        <w:numPr>
          <w:ilvl w:val="0"/>
          <w:numId w:val="21"/>
        </w:numPr>
        <w:spacing w:after="60" w:before="0"/>
      </w:pPr>
      <w:r>
        <w:rPr>
          <w:rFonts w:ascii="Aptos" w:cs="Aptos" w:eastAsia="Aptos" w:hAnsi="Aptos"/>
        </w:rPr>
        <w:t xml:space="preserve">What did the June 2026 cyber-law amendment actually enact, and what takedown deadlines bind the company?</w:t>
      </w:r>
    </w:p>
    <w:p>
      <w:pPr>
        <w:pStyle w:val="ListParagraph"/>
        <w:numPr>
          <w:ilvl w:val="0"/>
          <w:numId w:val="21"/>
        </w:numPr>
        <w:spacing w:after="60" w:before="0"/>
      </w:pPr>
      <w:r>
        <w:rPr>
          <w:rFonts w:ascii="Aptos" w:cs="Aptos" w:eastAsia="Aptos" w:hAnsi="Aptos"/>
        </w:rPr>
        <w:t xml:space="preserve">Is the consent framework sufficient evidence of consent in Bangladesh? Should third parties' identity documents be checked?</w:t>
      </w:r>
    </w:p>
    <w:p>
      <w:pPr>
        <w:pStyle w:val="ListParagraph"/>
        <w:numPr>
          <w:ilvl w:val="0"/>
          <w:numId w:val="21"/>
        </w:numPr>
        <w:spacing w:after="60" w:before="0"/>
      </w:pPr>
      <w:r>
        <w:rPr>
          <w:rFonts w:ascii="Aptos" w:cs="Aptos" w:eastAsia="Aptos" w:hAnsi="Aptos"/>
        </w:rPr>
        <w:t xml:space="preserve">What evidence of heirs' permission is needed for a deceased person, if offered at all?</w:t>
      </w:r>
    </w:p>
    <w:p>
      <w:pPr>
        <w:pStyle w:val="ListParagraph"/>
        <w:numPr>
          <w:ilvl w:val="0"/>
          <w:numId w:val="21"/>
        </w:numPr>
        <w:spacing w:after="60" w:before="0"/>
      </w:pPr>
      <w:r>
        <w:rPr>
          <w:rFonts w:ascii="Aptos" w:cs="Aptos" w:eastAsia="Aptos" w:hAnsi="Aptos"/>
        </w:rPr>
        <w:t xml:space="preserve">What written-permission proof is adequate for public figures?</w:t>
      </w:r>
    </w:p>
    <w:p>
      <w:pPr>
        <w:pStyle w:val="ListParagraph"/>
        <w:numPr>
          <w:ilvl w:val="0"/>
          <w:numId w:val="21"/>
        </w:numPr>
        <w:spacing w:after="60" w:before="0"/>
      </w:pPr>
      <w:r>
        <w:rPr>
          <w:rFonts w:ascii="Aptos" w:cs="Aptos" w:eastAsia="Aptos" w:hAnsi="Aptos"/>
        </w:rPr>
        <w:t xml:space="preserve">Can a withdrawing voice owner force removal of already published videos? What should the terms say?</w:t>
      </w:r>
    </w:p>
    <w:p>
      <w:pPr>
        <w:pStyle w:val="ListParagraph"/>
        <w:numPr>
          <w:ilvl w:val="0"/>
          <w:numId w:val="21"/>
        </w:numPr>
        <w:spacing w:after="60" w:before="0"/>
      </w:pPr>
      <w:r>
        <w:rPr>
          <w:rFonts w:ascii="Aptos" w:cs="Aptos" w:eastAsia="Aptos" w:hAnsi="Aptos"/>
        </w:rPr>
        <w:t xml:space="preserve">How should "deepfake" be defined for Bangladesh, and what election-period rules exist?</w:t>
      </w:r>
    </w:p>
    <w:p>
      <w:pPr>
        <w:pStyle w:val="ListParagraph"/>
        <w:numPr>
          <w:ilvl w:val="0"/>
          <w:numId w:val="21"/>
        </w:numPr>
        <w:spacing w:after="60" w:before="0"/>
      </w:pPr>
      <w:r>
        <w:rPr>
          <w:rFonts w:ascii="Aptos" w:cs="Aptos" w:eastAsia="Aptos" w:hAnsi="Aptos"/>
        </w:rPr>
        <w:t xml:space="preserve">(International) Does the ELVIS Act expose a foreign SaaS with consent controls? Which other states matter?</w:t>
      </w:r>
    </w:p>
    <w:p>
      <w:pPr>
        <w:pStyle w:val="ListParagraph"/>
        <w:numPr>
          <w:ilvl w:val="0"/>
          <w:numId w:val="21"/>
        </w:numPr>
        <w:spacing w:after="60" w:before="0"/>
      </w:pPr>
      <w:r>
        <w:rPr>
          <w:rFonts w:ascii="Aptos" w:cs="Aptos" w:eastAsia="Aptos" w:hAnsi="Aptos"/>
        </w:rPr>
        <w:t xml:space="preserve">(International) Is Motion Studio a provider only, or also a deployer when it publishes? What does 50(2) require for exported text?</w:t>
      </w:r>
    </w:p>
    <w:p>
      <w:pPr>
        <w:pStyle w:val="ListParagraph"/>
        <w:numPr>
          <w:ilvl w:val="0"/>
          <w:numId w:val="21"/>
        </w:numPr>
        <w:spacing w:after="60" w:before="0"/>
      </w:pPr>
      <w:r>
        <w:rPr>
          <w:rFonts w:ascii="Aptos" w:cs="Aptos" w:eastAsia="Aptos" w:hAnsi="Aptos"/>
        </w:rPr>
        <w:t xml:space="preserve">(International) Does any NexaTute feature fall into the EU AI Act's education high-risk category (from December 2027)?</w:t>
      </w:r>
    </w:p>
    <w:p>
      <w:pPr>
        <w:pStyle w:val="Heading2"/>
      </w:pPr>
      <w:r>
        <w:rPr>
          <w:rFonts w:ascii="Aptos" w:cs="Aptos" w:eastAsia="Aptos" w:hAnsi="Aptos"/>
        </w:rPr>
        <w:t xml:space="preserve">9.6 Documents and actions needed</w:t>
      </w:r>
    </w:p>
    <w:p>
      <w:pPr>
        <w:pStyle w:val="ListParagraph"/>
        <w:numPr>
          <w:ilvl w:val="0"/>
          <w:numId w:val="3"/>
        </w:numPr>
        <w:spacing w:after="60" w:before="0"/>
      </w:pPr>
      <w:r>
        <w:rPr>
          <w:rFonts w:ascii="Aptos" w:cs="Aptos" w:eastAsia="Aptos" w:hAnsi="Aptos"/>
        </w:rPr>
        <w:t xml:space="preserve">Voice-cloning and digital-twin consent terms (own first; third-party later with licence template).</w:t>
      </w:r>
    </w:p>
    <w:p>
      <w:pPr>
        <w:pStyle w:val="ListParagraph"/>
        <w:numPr>
          <w:ilvl w:val="0"/>
          <w:numId w:val="3"/>
        </w:numPr>
        <w:spacing w:after="60" w:before="0"/>
      </w:pPr>
      <w:r>
        <w:rPr>
          <w:rFonts w:ascii="Aptos" w:cs="Aptos" w:eastAsia="Aptos" w:hAnsi="Aptos"/>
        </w:rPr>
        <w:t xml:space="preserve">Content Policy definitions (deepfake, impersonation, anti-state content, election rules).</w:t>
      </w:r>
    </w:p>
    <w:p>
      <w:pPr>
        <w:pStyle w:val="ListParagraph"/>
        <w:numPr>
          <w:ilvl w:val="0"/>
          <w:numId w:val="3"/>
        </w:numPr>
        <w:spacing w:after="60" w:before="0"/>
      </w:pPr>
      <w:r>
        <w:rPr>
          <w:rFonts w:ascii="Aptos" w:cs="Aptos" w:eastAsia="Aptos" w:hAnsi="Aptos"/>
        </w:rPr>
        <w:t xml:space="preserve">AI transparency notice for both products; deployer-duty notice at export.</w:t>
      </w:r>
    </w:p>
    <w:p>
      <w:pPr>
        <w:pStyle w:val="ListParagraph"/>
        <w:numPr>
          <w:ilvl w:val="0"/>
          <w:numId w:val="3"/>
        </w:numPr>
        <w:spacing w:after="60" w:before="0"/>
      </w:pPr>
      <w:r>
        <w:rPr>
          <w:rFonts w:ascii="Aptos" w:cs="Aptos" w:eastAsia="Aptos" w:hAnsi="Aptos"/>
        </w:rPr>
        <w:t xml:space="preserve">C2PA certificate from a trust-list CA; marking live on every export before Free Beta.</w:t>
      </w:r>
    </w:p>
    <w:p>
      <w:pPr>
        <w:pStyle w:val="ListParagraph"/>
        <w:numPr>
          <w:ilvl w:val="0"/>
          <w:numId w:val="3"/>
        </w:numPr>
        <w:spacing w:after="60" w:before="0"/>
      </w:pPr>
      <w:r>
        <w:rPr>
          <w:rFonts w:ascii="Aptos" w:cs="Aptos" w:eastAsia="Aptos" w:hAnsi="Aptos"/>
        </w:rPr>
        <w:t xml:space="preserve">DPIA for voice and likeness processing.</w:t>
      </w:r>
    </w:p>
    <w:p>
      <w:pPr>
        <w:pStyle w:val="Heading1"/>
        <w:pageBreakBefore/>
      </w:pPr>
      <w:r>
        <w:rPr>
          <w:rFonts w:ascii="Aptos" w:cs="Aptos" w:eastAsia="Aptos" w:hAnsi="Aptos"/>
        </w:rPr>
        <w:t xml:space="preserve">10. Copyright, Licences and Trademarks</w:t>
      </w:r>
    </w:p>
    <w:p>
      <w:pPr>
        <w:spacing w:after="140" w:before="0" w:line="288"/>
      </w:pPr>
      <w:r>
        <w:rPr>
          <w:rFonts w:ascii="Aptos" w:cs="Aptos" w:eastAsia="Aptos" w:hAnsi="Aptos"/>
        </w:rPr>
        <w:t xml:space="preserve">Covers outputs, inputs, images, music, training data, model licences and trademarks.</w:t>
      </w:r>
    </w:p>
    <w:p>
      <w:pPr>
        <w:pStyle w:val="Heading2"/>
      </w:pPr>
      <w:r>
        <w:rPr>
          <w:rFonts w:ascii="Aptos" w:cs="Aptos" w:eastAsia="Aptos" w:hAnsi="Aptos"/>
        </w:rPr>
        <w:t xml:space="preserve">10.1 Facts</w:t>
      </w:r>
    </w:p>
    <w:p>
      <w:pPr>
        <w:pStyle w:val="ListParagraph"/>
        <w:numPr>
          <w:ilvl w:val="0"/>
          <w:numId w:val="3"/>
        </w:numPr>
        <w:spacing w:after="60" w:before="0"/>
      </w:pPr>
      <w:r>
        <w:rPr>
          <w:rFonts w:ascii="Aptos" w:cs="Aptos" w:eastAsia="Aptos" w:hAnsi="Aptos"/>
        </w:rPr>
        <w:t xml:space="preserve">Motion Studio terms (draft): the client receives all rights RemonLogic holds in the output; paid videos have full commercial use; free videos are watermarked, personal use; the client is responsible for inputs; no promise of copyright protection.</w:t>
      </w:r>
    </w:p>
    <w:p>
      <w:pPr>
        <w:pStyle w:val="ListParagraph"/>
        <w:numPr>
          <w:ilvl w:val="0"/>
          <w:numId w:val="3"/>
        </w:numPr>
        <w:spacing w:after="60" w:before="0"/>
      </w:pPr>
      <w:r>
        <w:rPr>
          <w:rFonts w:ascii="Aptos" w:cs="Aptos" w:eastAsia="Aptos" w:hAnsi="Aptos"/>
        </w:rPr>
        <w:t xml:space="preserve">Upload controls: ownership declaration with file hash, channel import as proof, music replacement, Chromaprint check, logo detection. Marketplace 80/20; cloned voices never sold.</w:t>
      </w:r>
    </w:p>
    <w:p>
      <w:pPr>
        <w:pStyle w:val="ListParagraph"/>
        <w:numPr>
          <w:ilvl w:val="0"/>
          <w:numId w:val="3"/>
        </w:numPr>
        <w:spacing w:after="60" w:before="0"/>
      </w:pPr>
      <w:r>
        <w:rPr>
          <w:rFonts w:ascii="Aptos" w:cs="Aptos" w:eastAsia="Aptos" w:hAnsi="Aptos"/>
        </w:rPr>
        <w:t xml:space="preserve">NexaTute: AI lessons, institution-uploaded past papers, NCTB textbooks chapter by chapter.</w:t>
      </w:r>
    </w:p>
    <w:p>
      <w:pPr>
        <w:pStyle w:val="ListParagraph"/>
        <w:numPr>
          <w:ilvl w:val="0"/>
          <w:numId w:val="3"/>
        </w:numPr>
        <w:spacing w:after="60" w:before="0"/>
      </w:pPr>
      <w:r>
        <w:rPr>
          <w:rFonts w:ascii="Aptos" w:cs="Aptos" w:eastAsia="Aptos" w:hAnsi="Aptos"/>
        </w:rPr>
        <w:t xml:space="preserve">Images: Wikimedia (CC0 or CC BY, attributed); Pexels and web images for reference only; own photographer shoots for the library and the "Bangladesh scenes" and people LoRA; client uploads only in that client's videos; a paid stock API. LoRA training only on own photos until a lawyer confirms. Music: own AI music (ACE-Step, to verify) or Content-ID-free tracks.</w:t>
      </w:r>
    </w:p>
    <w:p>
      <w:pPr>
        <w:pStyle w:val="ListParagraph"/>
        <w:numPr>
          <w:ilvl w:val="0"/>
          <w:numId w:val="3"/>
        </w:numPr>
        <w:spacing w:after="60" w:before="0"/>
      </w:pPr>
      <w:r>
        <w:rPr>
          <w:rFonts w:ascii="Aptos" w:cs="Aptos" w:eastAsia="Aptos" w:hAnsi="Aptos"/>
        </w:rPr>
        <w:t xml:space="preserve">Models: Wan 2.2 and FLUX.1-schnell (Apache-2.0); FLUX.1-dev only with a paid licence; CodeFormer and vid.stab excluded. Still to verify: ACE-Step, Demucs weights, RealBasicVSR/BasicVSR++, SeedVR2, GFPGAN detector, NSFW classifier, SpeechBrain ECAPA, AudioSeal, LightX2V, FastWan weights, Wan2.2-S2V-14B, Nunchaku FLUX weights, Lightning LoRA, TeaCache, SageAttention, DeepFilterNet, the re-upload watermark method. </w:t>
      </w:r>
    </w:p>
    <w:p>
      <w:pPr>
        <w:pStyle w:val="ListParagraph"/>
        <w:numPr>
          <w:ilvl w:val="0"/>
          <w:numId w:val="3"/>
        </w:numPr>
        <w:spacing w:after="60" w:before="0"/>
      </w:pPr>
      <w:r>
        <w:rPr>
          <w:rFonts w:ascii="Aptos" w:cs="Aptos" w:eastAsia="Aptos" w:hAnsi="Aptos"/>
        </w:rPr>
        <w:t xml:space="preserve">Names: RemonLogic, NexaTute, PlayBoom, MindForge, Remon Motion Studio, NexaLogicDev; logos made 31 October 2026 (maker [to insert]).</w:t>
      </w:r>
    </w:p>
    <w:p>
      <w:pPr>
        <w:pStyle w:val="Heading2"/>
      </w:pPr>
      <w:r>
        <w:rPr>
          <w:rFonts w:ascii="Aptos" w:cs="Aptos" w:eastAsia="Aptos" w:hAnsi="Aptos"/>
        </w:rPr>
        <w:t xml:space="preserve">10.2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8"/>
        <w:gridCol w:w="4598"/>
        <w:gridCol w:w="1830"/>
      </w:tblGrid>
      <w:tr>
        <w:trPr>
          <w:cantSplit/>
          <w:tblHeader/>
        </w:trPr>
        <w:tc>
          <w:tcPr>
            <w:tcW w:type="dxa" w:w="28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 or licence</w:t>
            </w:r>
          </w:p>
        </w:tc>
        <w:tc>
          <w:tcPr>
            <w:tcW w:type="dxa" w:w="4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183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2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Act, 2023 (Act number not confirmed)</w:t>
            </w:r>
          </w:p>
        </w:tc>
        <w:tc>
          <w:tcPr>
            <w:tcW w:type="dxa" w:w="4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No express rule on AI or non-human authorship; AI works may not get the same protection. Copyright automatic; registration optional. Employee works belong to the employer; others need written assignment. No AI-training exception reported. Rights in voice and likeness come from consent and contract</w:t>
            </w:r>
          </w:p>
        </w:tc>
        <w:tc>
          <w:tcPr>
            <w:tcW w:type="dxa" w:w="18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28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 [dev] Non-Commercial License v1.1.1</w:t>
            </w:r>
          </w:p>
        </w:tc>
        <w:tc>
          <w:tcPr>
            <w:tcW w:type="dxa" w:w="4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Non-commercial only; excludes revenue-generating use and use "in direct interactions with or that has impact on end users"; a paid SaaS needs a separate commercial licence. Outputs usable for any purpose but not to train a competing model. Conditions: filtering or human review, AI disclosure where law requires, EU AI Act compliance</w:t>
            </w:r>
          </w:p>
        </w:tc>
        <w:tc>
          <w:tcPr>
            <w:tcW w:type="dxa" w:w="18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2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 [schnell] — Apache-2.0</w:t>
            </w:r>
          </w:p>
        </w:tc>
        <w:tc>
          <w:tcPr>
            <w:tcW w:type="dxa" w:w="4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Commercial use and self-hosting allowed; out-of-scope uses: disinformation, non-consensual nudity, harmful automated decisions</w:t>
            </w:r>
          </w:p>
        </w:tc>
        <w:tc>
          <w:tcPr>
            <w:tcW w:type="dxa" w:w="18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28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 2.2 — Apache-2.0</w:t>
            </w:r>
          </w:p>
        </w:tc>
        <w:tc>
          <w:tcPr>
            <w:tcW w:type="dxa" w:w="4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rights claimed over generated content; commercial use allowed subject to the model card's prohibited uses. Later Wan versions (2.5–2.7) reported API-only</w:t>
            </w:r>
          </w:p>
        </w:tc>
        <w:tc>
          <w:tcPr>
            <w:tcW w:type="dxa" w:w="18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2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Creative Commons licences; Trademarks Act, 2009</w:t>
            </w:r>
          </w:p>
        </w:tc>
        <w:tc>
          <w:tcPr>
            <w:tcW w:type="dxa" w:w="4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CC covers copyright only, not personality rights or trademarks (general knowledge); trademark practice not researched</w:t>
            </w:r>
          </w:p>
        </w:tc>
        <w:tc>
          <w:tcPr>
            <w:tcW w:type="dxa" w:w="18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bl>
    <w:p>
      <w:pPr>
        <w:spacing w:after="120" w:before="0"/>
      </w:pPr>
    </w:p>
    <w:p>
      <w:pPr>
        <w:pStyle w:val="Heading2"/>
      </w:pPr>
      <w:r>
        <w:rPr>
          <w:rFonts w:ascii="Aptos" w:cs="Aptos" w:eastAsia="Aptos" w:hAnsi="Aptos"/>
        </w:rPr>
        <w:t xml:space="preserve">10.3 Our proposed position</w:t>
      </w:r>
    </w:p>
    <w:p>
      <w:pPr>
        <w:pStyle w:val="ListParagraph"/>
        <w:numPr>
          <w:ilvl w:val="0"/>
          <w:numId w:val="22"/>
        </w:numPr>
        <w:spacing w:after="60" w:before="0"/>
      </w:pPr>
      <w:r>
        <w:rPr>
          <w:rFonts w:ascii="Aptos" w:cs="Aptos" w:eastAsia="Aptos" w:hAnsi="Aptos"/>
        </w:rPr>
        <w:t xml:space="preserve">Terms grant "all rights RemonLogic holds in the output" and never say the client "owns the copyright".</w:t>
      </w:r>
    </w:p>
    <w:p>
      <w:pPr>
        <w:pStyle w:val="ListParagraph"/>
        <w:numPr>
          <w:ilvl w:val="0"/>
          <w:numId w:val="22"/>
        </w:numPr>
        <w:spacing w:after="60" w:before="0"/>
      </w:pPr>
      <w:r>
        <w:rPr>
          <w:rFonts w:ascii="Aptos" w:cs="Aptos" w:eastAsia="Aptos" w:hAnsi="Aptos"/>
        </w:rPr>
        <w:t xml:space="preserve">Client warranties that it owns or has licensed every input and has consent from every person shown or heard, with an indemnity (cap as the lawyer advises). RemonLogic processes inputs only to provide the service and never trains on client content except the client's own LoRA, unless the client opts in.</w:t>
      </w:r>
    </w:p>
    <w:p>
      <w:pPr>
        <w:pStyle w:val="ListParagraph"/>
        <w:numPr>
          <w:ilvl w:val="0"/>
          <w:numId w:val="22"/>
        </w:numPr>
        <w:spacing w:after="60" w:before="0"/>
      </w:pPr>
      <w:r>
        <w:rPr>
          <w:rFonts w:ascii="Aptos" w:cs="Aptos" w:eastAsia="Aptos" w:hAnsi="Aptos"/>
        </w:rPr>
        <w:t xml:space="preserve">Photographers assign copyright in writing, and every identifiable person photographed signs a release covering AI training and derivatives, before any photo enters the library or LoRA. LoRA training stays on own photos with releases.</w:t>
      </w:r>
    </w:p>
    <w:p>
      <w:pPr>
        <w:pStyle w:val="ListParagraph"/>
        <w:numPr>
          <w:ilvl w:val="0"/>
          <w:numId w:val="22"/>
        </w:numPr>
        <w:spacing w:after="60" w:before="0"/>
      </w:pPr>
      <w:r>
        <w:rPr>
          <w:rFonts w:ascii="Aptos" w:cs="Aptos" w:eastAsia="Aptos" w:hAnsi="Aptos"/>
        </w:rPr>
        <w:t xml:space="preserve">Wikimedia: CC0 or CC BY only; attribution kept; identifiable people not animated without consent (default, editable).</w:t>
      </w:r>
    </w:p>
    <w:p>
      <w:pPr>
        <w:pStyle w:val="ListParagraph"/>
        <w:numPr>
          <w:ilvl w:val="0"/>
          <w:numId w:val="22"/>
        </w:numPr>
        <w:spacing w:after="60" w:before="0"/>
      </w:pPr>
      <w:r>
        <w:rPr>
          <w:rFonts w:ascii="Aptos" w:cs="Aptos" w:eastAsia="Aptos" w:hAnsi="Aptos"/>
        </w:rPr>
        <w:t xml:space="preserve">Music only from verified own AI music, own library or written licences allowing use in client videos. No copying of full textbooks or past papers without a licence.</w:t>
      </w:r>
    </w:p>
    <w:p>
      <w:pPr>
        <w:pStyle w:val="ListParagraph"/>
        <w:numPr>
          <w:ilvl w:val="0"/>
          <w:numId w:val="22"/>
        </w:numPr>
        <w:spacing w:after="60" w:before="0"/>
      </w:pPr>
      <w:r>
        <w:rPr>
          <w:rFonts w:ascii="Aptos" w:cs="Aptos" w:eastAsia="Aptos" w:hAnsi="Aptos"/>
        </w:rPr>
        <w:t xml:space="preserve">FLUX.1-dev is not used anywhere, including the Free Beta, without a commercial licence. No model or library goes live until its licence is verified and recorded; model-card prohibited uses go into the Content Policy; Wan 2.2 pinned to the open-weight version; no GPL or AGPL in shipped server components without written review.</w:t>
      </w:r>
    </w:p>
    <w:p>
      <w:pPr>
        <w:pStyle w:val="ListParagraph"/>
        <w:numPr>
          <w:ilvl w:val="0"/>
          <w:numId w:val="22"/>
        </w:numPr>
        <w:spacing w:after="60" w:before="0"/>
      </w:pPr>
      <w:r>
        <w:rPr>
          <w:rFonts w:ascii="Aptos" w:cs="Aptos" w:eastAsia="Aptos" w:hAnsi="Aptos"/>
        </w:rPr>
        <w:t xml:space="preserve">Trademarks: file the main names and logos in Bangladesh (Claude suggests classes 9, 35, 41, 42, default, editable), and in the US, EU and UK before marketing there; logo maker assigns rights in writing.</w:t>
      </w:r>
    </w:p>
    <w:p>
      <w:pPr>
        <w:pStyle w:val="Heading2"/>
      </w:pPr>
      <w:r>
        <w:rPr>
          <w:rFonts w:ascii="Aptos" w:cs="Aptos" w:eastAsia="Aptos" w:hAnsi="Aptos"/>
        </w:rPr>
        <w:t xml:space="preserve">10.4 Risks if wrong</w:t>
      </w:r>
    </w:p>
    <w:p>
      <w:pPr>
        <w:pStyle w:val="ListParagraph"/>
        <w:numPr>
          <w:ilvl w:val="0"/>
          <w:numId w:val="3"/>
        </w:numPr>
        <w:spacing w:after="60" w:before="0"/>
      </w:pPr>
      <w:r>
        <w:rPr>
          <w:rFonts w:ascii="Aptos" w:cs="Aptos" w:eastAsia="Aptos" w:hAnsi="Aptos"/>
        </w:rPr>
        <w:t xml:space="preserve">Misleading promises of copyright; claims from photographers, models, musicians or publishers; Content ID claims; licence breach forcing removal of a model and its LoRAs; rebranding after a trademark conflict.</w:t>
      </w:r>
    </w:p>
    <w:p>
      <w:pPr>
        <w:pStyle w:val="Heading2"/>
      </w:pPr>
      <w:r>
        <w:rPr>
          <w:rFonts w:ascii="Aptos" w:cs="Aptos" w:eastAsia="Aptos" w:hAnsi="Aptos"/>
        </w:rPr>
        <w:t xml:space="preserve">10.5 Questions for the lawyer</w:t>
      </w:r>
    </w:p>
    <w:p>
      <w:pPr>
        <w:pStyle w:val="ListParagraph"/>
        <w:numPr>
          <w:ilvl w:val="0"/>
          <w:numId w:val="23"/>
        </w:numPr>
        <w:spacing w:after="60" w:before="0"/>
      </w:pPr>
      <w:r>
        <w:rPr>
          <w:rFonts w:ascii="Aptos" w:cs="Aptos" w:eastAsia="Aptos" w:hAnsi="Aptos"/>
        </w:rPr>
        <w:t xml:space="preserve">Can AI-assisted output with human creative input be protected under the Copyright Act 2023, and who is the author?</w:t>
      </w:r>
    </w:p>
    <w:p>
      <w:pPr>
        <w:pStyle w:val="ListParagraph"/>
        <w:numPr>
          <w:ilvl w:val="0"/>
          <w:numId w:val="23"/>
        </w:numPr>
        <w:spacing w:after="60" w:before="0"/>
      </w:pPr>
      <w:r>
        <w:rPr>
          <w:rFonts w:ascii="Aptos" w:cs="Aptos" w:eastAsia="Aptos" w:hAnsi="Aptos"/>
        </w:rPr>
        <w:t xml:space="preserve">Is LoRA training on photos the company does not own (for example CC BY images) lawful in Bangladesh?</w:t>
      </w:r>
    </w:p>
    <w:p>
      <w:pPr>
        <w:pStyle w:val="ListParagraph"/>
        <w:numPr>
          <w:ilvl w:val="0"/>
          <w:numId w:val="23"/>
        </w:numPr>
        <w:spacing w:after="60" w:before="0"/>
      </w:pPr>
      <w:r>
        <w:rPr>
          <w:rFonts w:ascii="Aptos" w:cs="Aptos" w:eastAsia="Aptos" w:hAnsi="Aptos"/>
        </w:rPr>
        <w:t xml:space="preserve">Do photos of identifiable people in public places need consent for commercial AI training and animation?</w:t>
      </w:r>
    </w:p>
    <w:p>
      <w:pPr>
        <w:pStyle w:val="ListParagraph"/>
        <w:numPr>
          <w:ilvl w:val="0"/>
          <w:numId w:val="23"/>
        </w:numPr>
        <w:spacing w:after="60" w:before="0"/>
      </w:pPr>
      <w:r>
        <w:rPr>
          <w:rFonts w:ascii="Aptos" w:cs="Aptos" w:eastAsia="Aptos" w:hAnsi="Aptos"/>
        </w:rPr>
        <w:t xml:space="preserve">May NexaTute teach from NCTB textbooks chapter by chapter, and what may it quote? Are past papers usable under any licence?</w:t>
      </w:r>
    </w:p>
    <w:p>
      <w:pPr>
        <w:pStyle w:val="ListParagraph"/>
        <w:numPr>
          <w:ilvl w:val="0"/>
          <w:numId w:val="23"/>
        </w:numPr>
        <w:spacing w:after="60" w:before="0"/>
      </w:pPr>
      <w:r>
        <w:rPr>
          <w:rFonts w:ascii="Aptos" w:cs="Aptos" w:eastAsia="Aptos" w:hAnsi="Aptos"/>
        </w:rPr>
        <w:t xml:space="preserve">Which trademark classes, and is a search needed first? Can a Bangladeshi applicant file internationally through one system?</w:t>
      </w:r>
    </w:p>
    <w:p>
      <w:pPr>
        <w:pStyle w:val="ListParagraph"/>
        <w:numPr>
          <w:ilvl w:val="0"/>
          <w:numId w:val="23"/>
        </w:numPr>
        <w:spacing w:after="60" w:before="0"/>
      </w:pPr>
      <w:r>
        <w:rPr>
          <w:rFonts w:ascii="Aptos" w:cs="Aptos" w:eastAsia="Aptos" w:hAnsi="Aptos"/>
        </w:rPr>
        <w:t xml:space="preserve">Who owns a logo made with AI tools, and can it be registered?</w:t>
      </w:r>
    </w:p>
    <w:p>
      <w:pPr>
        <w:pStyle w:val="Heading2"/>
      </w:pPr>
      <w:r>
        <w:rPr>
          <w:rFonts w:ascii="Aptos" w:cs="Aptos" w:eastAsia="Aptos" w:hAnsi="Aptos"/>
        </w:rPr>
        <w:t xml:space="preserve">10.6 Documents and actions needed</w:t>
      </w:r>
    </w:p>
    <w:p>
      <w:pPr>
        <w:pStyle w:val="ListParagraph"/>
        <w:numPr>
          <w:ilvl w:val="0"/>
          <w:numId w:val="3"/>
        </w:numPr>
        <w:spacing w:after="60" w:before="0"/>
      </w:pPr>
      <w:r>
        <w:rPr>
          <w:rFonts w:ascii="Aptos" w:cs="Aptos" w:eastAsia="Aptos" w:hAnsi="Aptos"/>
        </w:rPr>
        <w:t xml:space="preserve">Copyright clauses; photographer and model-release templates; licence register; trademark search, filings and logo assignment.</w:t>
      </w:r>
    </w:p>
    <w:p>
      <w:pPr>
        <w:pStyle w:val="Heading1"/>
        <w:pageBreakBefore/>
      </w:pPr>
      <w:r>
        <w:rPr>
          <w:rFonts w:ascii="Aptos" w:cs="Aptos" w:eastAsia="Aptos" w:hAnsi="Aptos"/>
        </w:rPr>
        <w:t xml:space="preserve">11. Platform and Messaging Rules</w:t>
      </w:r>
    </w:p>
    <w:p>
      <w:pPr>
        <w:spacing w:after="140" w:before="0" w:line="288"/>
      </w:pPr>
      <w:r>
        <w:rPr>
          <w:rFonts w:ascii="Aptos" w:cs="Aptos" w:eastAsia="Aptos" w:hAnsi="Aptos"/>
        </w:rPr>
        <w:t xml:space="preserve">Covers the rules of YouTube, Meta (Facebook, Instagram, WhatsApp, Messenger), TikTok, imo and the app stores. These are contracts and policies, not laws, but breaking them can stop the business faster than a regulator. They change without notice and are re-checked at every feature switch-on.</w:t>
      </w:r>
    </w:p>
    <w:p>
      <w:pPr>
        <w:pStyle w:val="Heading2"/>
      </w:pPr>
      <w:r>
        <w:rPr>
          <w:rFonts w:ascii="Aptos" w:cs="Aptos" w:eastAsia="Aptos" w:hAnsi="Aptos"/>
        </w:rPr>
        <w:t xml:space="preserve">11.1 Facts</w:t>
      </w:r>
    </w:p>
    <w:p>
      <w:pPr>
        <w:pStyle w:val="ListParagraph"/>
        <w:numPr>
          <w:ilvl w:val="0"/>
          <w:numId w:val="3"/>
        </w:numPr>
        <w:spacing w:after="60" w:before="0"/>
      </w:pPr>
      <w:r>
        <w:rPr>
          <w:rFonts w:ascii="Aptos" w:cs="Aptos" w:eastAsia="Aptos" w:hAnsi="Aptos"/>
        </w:rPr>
        <w:t xml:space="preserve">Motion Studio publishes to YouTube, Facebook, Instagram and TikTok through official APIs, ticks AI-disclosure options automatically and sets "Made for kids" in kids-safe mode. It also uses YouTube trend data, platform analytics, one-click Meta boosts from the creator's ad account and a pre-publish ad-policy check.</w:t>
      </w:r>
    </w:p>
    <w:p>
      <w:pPr>
        <w:pStyle w:val="ListParagraph"/>
        <w:numPr>
          <w:ilvl w:val="0"/>
          <w:numId w:val="3"/>
        </w:numPr>
        <w:spacing w:after="60" w:before="0"/>
      </w:pPr>
      <w:r>
        <w:rPr>
          <w:rFonts w:ascii="Aptos" w:cs="Aptos" w:eastAsia="Aptos" w:hAnsi="Aptos"/>
        </w:rPr>
        <w:t xml:space="preserve">Bulk or templated output: personalised bulk videos, one ad per catalogue product, auto-publish calendar, faceless autopilot (daily cap), bulk Islamic and story content. Clients are warned about "inauthentic content" rules.</w:t>
      </w:r>
    </w:p>
    <w:p>
      <w:pPr>
        <w:pStyle w:val="ListParagraph"/>
        <w:numPr>
          <w:ilvl w:val="0"/>
          <w:numId w:val="3"/>
        </w:numPr>
        <w:spacing w:after="60" w:before="0"/>
      </w:pPr>
      <w:r>
        <w:rPr>
          <w:rFonts w:ascii="Aptos" w:cs="Aptos" w:eastAsia="Aptos" w:hAnsi="Aptos"/>
        </w:rPr>
        <w:t xml:space="preserve">Ordering by WhatsApp or Messenger voice note with a payment link (subject to platform approval); personalised videos sent by WhatsApp or SMS link.</w:t>
      </w:r>
    </w:p>
    <w:p>
      <w:pPr>
        <w:pStyle w:val="ListParagraph"/>
        <w:numPr>
          <w:ilvl w:val="0"/>
          <w:numId w:val="3"/>
        </w:numPr>
        <w:spacing w:after="60" w:before="0"/>
      </w:pPr>
      <w:r>
        <w:rPr>
          <w:rFonts w:ascii="Aptos" w:cs="Aptos" w:eastAsia="Aptos" w:hAnsi="Aptos"/>
        </w:rPr>
        <w:t xml:space="preserve">NexaTute study bots on WhatsApp and Messenger. Nexa Co-Admin for staff on WhatsApp, Messenger and imo: off until the lawyer and DPO check; read-only by default; data masked; logged.</w:t>
      </w:r>
    </w:p>
    <w:p>
      <w:pPr>
        <w:pStyle w:val="ListParagraph"/>
        <w:numPr>
          <w:ilvl w:val="0"/>
          <w:numId w:val="3"/>
        </w:numPr>
        <w:spacing w:after="60" w:before="0"/>
      </w:pPr>
      <w:r>
        <w:rPr>
          <w:rFonts w:ascii="Aptos" w:cs="Aptos" w:eastAsia="Aptos" w:hAnsi="Aptos"/>
        </w:rPr>
        <w:t xml:space="preserve">NexaTute in the three app stores; in-app purchases through store billing at +30%.</w:t>
      </w:r>
    </w:p>
    <w:p>
      <w:pPr>
        <w:pStyle w:val="Heading2"/>
      </w:pPr>
      <w:r>
        <w:rPr>
          <w:rFonts w:ascii="Aptos" w:cs="Aptos" w:eastAsia="Aptos" w:hAnsi="Aptos"/>
        </w:rPr>
        <w:t xml:space="preserve">11.2 Applicable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1"/>
        <w:gridCol w:w="3881"/>
        <w:gridCol w:w="1544"/>
      </w:tblGrid>
      <w:tr>
        <w:trPr>
          <w:cantSplit/>
          <w:tblHeader/>
        </w:trPr>
        <w:tc>
          <w:tcPr>
            <w:tcW w:type="dxa" w:w="388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c>
          <w:tcPr>
            <w:tcW w:type="dxa" w:w="388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Key point</w:t>
            </w:r>
          </w:p>
        </w:tc>
        <w:tc>
          <w:tcPr>
            <w:tcW w:type="dxa" w:w="15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altered or synthetic content disclosure</w:t>
            </w:r>
          </w:p>
        </w:tc>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Disclose realistic AI content (a real person saying or doing something they did not; altered real events or places; realistic scenes that never happened; AI music as main focus) with the "AI use" toggle. Exempt: unrealistic or animated content, beauty filters, captions, cloning one's own voice for voiceover. Auto-labelling via C2PA or detection; repeated non-disclosure can lead to forced labels, removal or YouTube Partner Programme suspension</w:t>
            </w:r>
          </w:p>
        </w:tc>
        <w:tc>
          <w:tcPr>
            <w:tcW w:type="dxa" w:w="1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"inauthentic content" (renamed from "repetitious content" 15 July 2025)</w:t>
            </w:r>
          </w:p>
        </w:tc>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Mass-produced or repetitive videos, such as template narrations differing only superficially, are not monetisable; AI use itself is not a violation. A direct risk for bulk Islamic and story content</w:t>
            </w:r>
          </w:p>
        </w:tc>
        <w:tc>
          <w:tcPr>
            <w:tcW w:type="dxa" w:w="1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 TikTok</w:t>
            </w:r>
          </w:p>
        </w:tc>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 "AI info" label from C2PA/IPTC or self-disclosure; political and social-issue ads must disclose altered realistic media. TikTok: AI-generated content label for realistic content; C2PA uploads auto-labelled; unlabelled content may be limited or removed</w:t>
            </w:r>
          </w:p>
        </w:tc>
        <w:tc>
          <w:tcPr>
            <w:tcW w:type="dxa" w:w="1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WhatsApp Business Platform and Meta AI-provider rules; YouTube, Meta and TikTok API terms; app-store anti-steering rules in Bangladesh</w:t>
            </w:r>
          </w:p>
        </w:tc>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researched</w:t>
            </w:r>
          </w:p>
        </w:tc>
        <w:tc>
          <w:tcPr>
            <w:tcW w:type="dxa" w:w="1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bl>
    <w:p>
      <w:pPr>
        <w:spacing w:after="120" w:before="0"/>
      </w:pPr>
    </w:p>
    <w:p>
      <w:pPr>
        <w:pStyle w:val="Heading2"/>
      </w:pPr>
      <w:r>
        <w:rPr>
          <w:rFonts w:ascii="Aptos" w:cs="Aptos" w:eastAsia="Aptos" w:hAnsi="Aptos"/>
        </w:rPr>
        <w:t xml:space="preserve">11.3 Our proposed position</w:t>
      </w:r>
    </w:p>
    <w:p>
      <w:pPr>
        <w:pStyle w:val="ListParagraph"/>
        <w:numPr>
          <w:ilvl w:val="0"/>
          <w:numId w:val="24"/>
        </w:numPr>
        <w:spacing w:after="60" w:before="0"/>
      </w:pPr>
      <w:r>
        <w:rPr>
          <w:rFonts w:ascii="Aptos" w:cs="Aptos" w:eastAsia="Aptos" w:hAnsi="Aptos"/>
        </w:rPr>
        <w:t xml:space="preserve">Official APIs only; no scraping, personal-account automation or unofficial WhatsApp tools.</w:t>
      </w:r>
    </w:p>
    <w:p>
      <w:pPr>
        <w:pStyle w:val="ListParagraph"/>
        <w:numPr>
          <w:ilvl w:val="0"/>
          <w:numId w:val="24"/>
        </w:numPr>
        <w:spacing w:after="60" w:before="0"/>
      </w:pPr>
      <w:r>
        <w:rPr>
          <w:rFonts w:ascii="Aptos" w:cs="Aptos" w:eastAsia="Aptos" w:hAnsi="Aptos"/>
        </w:rPr>
        <w:t xml:space="preserve">Motion Studio sets each platform's AI-disclosure option for realistic AI content and cloned voices (other than the client's own voiceover) and keeps C2PA in the file; the client cannot switch disclosure off for realistic human likeness.</w:t>
      </w:r>
    </w:p>
    <w:p>
      <w:pPr>
        <w:pStyle w:val="ListParagraph"/>
        <w:numPr>
          <w:ilvl w:val="0"/>
          <w:numId w:val="24"/>
        </w:numPr>
        <w:spacing w:after="60" w:before="0"/>
      </w:pPr>
      <w:r>
        <w:rPr>
          <w:rFonts w:ascii="Aptos" w:cs="Aptos" w:eastAsia="Aptos" w:hAnsi="Aptos"/>
        </w:rPr>
        <w:t xml:space="preserve">Before auto-publish, a similarity check warns when a video differs only superficially from the client's recent uploads (default, editable); autopilot keeps its daily cap; marketing never says content is "monetisation-safe".</w:t>
      </w:r>
    </w:p>
    <w:p>
      <w:pPr>
        <w:pStyle w:val="ListParagraph"/>
        <w:numPr>
          <w:ilvl w:val="0"/>
          <w:numId w:val="24"/>
        </w:numPr>
        <w:spacing w:after="60" w:before="0"/>
      </w:pPr>
      <w:r>
        <w:rPr>
          <w:rFonts w:ascii="Aptos" w:cs="Aptos" w:eastAsia="Aptos" w:hAnsi="Aptos"/>
        </w:rPr>
        <w:t xml:space="preserve">"Made for kids" set automatically but remains the channel owner's responsibility; realistic AI political ads blocked in election periods (default, editable).</w:t>
      </w:r>
    </w:p>
    <w:p>
      <w:pPr>
        <w:pStyle w:val="ListParagraph"/>
        <w:numPr>
          <w:ilvl w:val="0"/>
          <w:numId w:val="24"/>
        </w:numPr>
        <w:spacing w:after="60" w:before="0"/>
      </w:pPr>
      <w:r>
        <w:rPr>
          <w:rFonts w:ascii="Aptos" w:cs="Aptos" w:eastAsia="Aptos" w:hAnsi="Aptos"/>
        </w:rPr>
        <w:t xml:space="preserve">One-click boost: the creator pays Meta directly; RemonLogic never holds ad spend.</w:t>
      </w:r>
    </w:p>
    <w:p>
      <w:pPr>
        <w:pStyle w:val="ListParagraph"/>
        <w:numPr>
          <w:ilvl w:val="0"/>
          <w:numId w:val="24"/>
        </w:numPr>
        <w:spacing w:after="60" w:before="0"/>
      </w:pPr>
      <w:r>
        <w:rPr>
          <w:rFonts w:ascii="Aptos" w:cs="Aptos" w:eastAsia="Aptos" w:hAnsi="Aptos"/>
        </w:rPr>
        <w:t xml:space="preserve">WhatsApp and Messenger ordering only through the WhatsApp Business Platform with an approved account in the company's name; approved templates; opt-in recorded before business-initiated messages; voice notes used only for the order, never for cloning; payment by link to the company checkout.</w:t>
      </w:r>
    </w:p>
    <w:p>
      <w:pPr>
        <w:pStyle w:val="ListParagraph"/>
        <w:numPr>
          <w:ilvl w:val="0"/>
          <w:numId w:val="24"/>
        </w:numPr>
        <w:spacing w:after="60" w:before="0"/>
      </w:pPr>
      <w:r>
        <w:rPr>
          <w:rFonts w:ascii="Aptos" w:cs="Aptos" w:eastAsia="Aptos" w:hAnsi="Aptos"/>
        </w:rPr>
        <w:t xml:space="preserve">Personalised bulk videos are sent only from the client's own business accounts or SMS sender, with the client confirming opt-in for each recipient; RemonLogic does not send marketing for clients from its own accounts (default, editable).</w:t>
      </w:r>
    </w:p>
    <w:p>
      <w:pPr>
        <w:pStyle w:val="ListParagraph"/>
        <w:numPr>
          <w:ilvl w:val="0"/>
          <w:numId w:val="24"/>
        </w:numPr>
        <w:spacing w:after="60" w:before="0"/>
      </w:pPr>
      <w:r>
        <w:rPr>
          <w:rFonts w:ascii="Aptos" w:cs="Aptos" w:eastAsia="Aptos" w:hAnsi="Aptos"/>
        </w:rPr>
        <w:t xml:space="preserve">Co-Admin on chat apps stays off until approved; no imo integration until an official business API exists; app-store wording follows each store's rules.</w:t>
      </w:r>
    </w:p>
    <w:p>
      <w:pPr>
        <w:pStyle w:val="Heading2"/>
      </w:pPr>
      <w:r>
        <w:rPr>
          <w:rFonts w:ascii="Aptos" w:cs="Aptos" w:eastAsia="Aptos" w:hAnsi="Aptos"/>
        </w:rPr>
        <w:t xml:space="preserve">11.4 Risks if wrong</w:t>
      </w:r>
    </w:p>
    <w:p>
      <w:pPr>
        <w:pStyle w:val="ListParagraph"/>
        <w:numPr>
          <w:ilvl w:val="0"/>
          <w:numId w:val="3"/>
        </w:numPr>
        <w:spacing w:after="60" w:before="0"/>
      </w:pPr>
      <w:r>
        <w:rPr>
          <w:rFonts w:ascii="Aptos" w:cs="Aptos" w:eastAsia="Aptos" w:hAnsi="Aptos"/>
        </w:rPr>
        <w:t xml:space="preserve">Revoked API access stops publishing, chat ordering and analytics for all clients at once; client channels demonetised; a banned WhatsApp number; app removal for steering; staff data exposed in chat apps.</w:t>
      </w:r>
    </w:p>
    <w:p>
      <w:pPr>
        <w:pStyle w:val="Heading2"/>
      </w:pPr>
      <w:r>
        <w:rPr>
          <w:rFonts w:ascii="Aptos" w:cs="Aptos" w:eastAsia="Aptos" w:hAnsi="Aptos"/>
        </w:rPr>
        <w:t xml:space="preserve">11.5 Questions for the lawyer</w:t>
      </w:r>
    </w:p>
    <w:p>
      <w:pPr>
        <w:pStyle w:val="ListParagraph"/>
        <w:numPr>
          <w:ilvl w:val="0"/>
          <w:numId w:val="25"/>
        </w:numPr>
        <w:spacing w:after="60" w:before="0"/>
      </w:pPr>
      <w:r>
        <w:rPr>
          <w:rFonts w:ascii="Aptos" w:cs="Aptos" w:eastAsia="Aptos" w:hAnsi="Aptos"/>
        </w:rPr>
        <w:t xml:space="preserve">Does Meta's current AI-provider policy allow a Motion Studio ordering bot and NexaTute study bots, including for minors?</w:t>
      </w:r>
    </w:p>
    <w:p>
      <w:pPr>
        <w:pStyle w:val="ListParagraph"/>
        <w:numPr>
          <w:ilvl w:val="0"/>
          <w:numId w:val="25"/>
        </w:numPr>
        <w:spacing w:after="60" w:before="0"/>
      </w:pPr>
      <w:r>
        <w:rPr>
          <w:rFonts w:ascii="Aptos" w:cs="Aptos" w:eastAsia="Aptos" w:hAnsi="Aptos"/>
        </w:rPr>
        <w:t xml:space="preserve">Do Bangladeshi rules on commercial SMS or WhatsApp marketing apply to personalised bulk videos sent for clients?</w:t>
      </w:r>
    </w:p>
    <w:p>
      <w:pPr>
        <w:pStyle w:val="ListParagraph"/>
        <w:numPr>
          <w:ilvl w:val="0"/>
          <w:numId w:val="25"/>
        </w:numPr>
        <w:spacing w:after="60" w:before="0"/>
      </w:pPr>
      <w:r>
        <w:rPr>
          <w:rFonts w:ascii="Aptos" w:cs="Aptos" w:eastAsia="Aptos" w:hAnsi="Aptos"/>
        </w:rPr>
        <w:t xml:space="preserve">What may the NexaTute apps say about cheaper website prices under store rules in Bangladesh?</w:t>
      </w:r>
    </w:p>
    <w:p>
      <w:pPr>
        <w:pStyle w:val="ListParagraph"/>
        <w:numPr>
          <w:ilvl w:val="0"/>
          <w:numId w:val="25"/>
        </w:numPr>
        <w:spacing w:after="60" w:before="0"/>
      </w:pPr>
      <w:r>
        <w:rPr>
          <w:rFonts w:ascii="Aptos" w:cs="Aptos" w:eastAsia="Aptos" w:hAnsi="Aptos"/>
        </w:rPr>
        <w:t xml:space="preserve">Do the YouTube API terms allow trend ideas and stored analytics? Is giving staff admin summaries through WhatsApp, Messenger or imo lawful under the data law?</w:t>
      </w:r>
    </w:p>
    <w:p>
      <w:pPr>
        <w:pStyle w:val="Heading2"/>
      </w:pPr>
      <w:r>
        <w:rPr>
          <w:rFonts w:ascii="Aptos" w:cs="Aptos" w:eastAsia="Aptos" w:hAnsi="Aptos"/>
        </w:rPr>
        <w:t xml:space="preserve">11.6 Documents and actions needed</w:t>
      </w:r>
    </w:p>
    <w:p>
      <w:pPr>
        <w:pStyle w:val="ListParagraph"/>
        <w:numPr>
          <w:ilvl w:val="0"/>
          <w:numId w:val="3"/>
        </w:numPr>
        <w:spacing w:after="60" w:before="0"/>
      </w:pPr>
      <w:r>
        <w:rPr>
          <w:rFonts w:ascii="Aptos" w:cs="Aptos" w:eastAsia="Aptos" w:hAnsi="Aptos"/>
        </w:rPr>
        <w:t xml:space="preserve">Developer and WhatsApp Business applications in the company's name; platform-rules help page and client clause; Co-Admin staff policy; quarterly policy review (default, editable).</w:t>
      </w:r>
    </w:p>
    <w:p>
      <w:pPr>
        <w:pStyle w:val="Heading1"/>
        <w:pageBreakBefore/>
      </w:pPr>
      <w:r>
        <w:rPr>
          <w:rFonts w:ascii="Aptos" w:cs="Aptos" w:eastAsia="Aptos" w:hAnsi="Aptos"/>
        </w:rPr>
        <w:t xml:space="preserve">12. Islamic Content Verification and Religious Sensitivity</w:t>
      </w:r>
    </w:p>
    <w:p>
      <w:pPr>
        <w:spacing w:after="140" w:before="0" w:line="288"/>
      </w:pPr>
      <w:r>
        <w:rPr>
          <w:rFonts w:ascii="Aptos" w:cs="Aptos" w:eastAsia="Aptos" w:hAnsi="Aptos"/>
        </w:rPr>
        <w:t xml:space="preserve">Covers Motion Studio's Islamic content programme (a 25% discount tied to verification), NexaTute's religious subjects, and the wider risk of content that offends any religion in Bangladesh.</w:t>
      </w:r>
    </w:p>
    <w:p>
      <w:pPr>
        <w:pStyle w:val="Heading2"/>
      </w:pPr>
      <w:r>
        <w:rPr>
          <w:rFonts w:ascii="Aptos" w:cs="Aptos" w:eastAsia="Aptos" w:hAnsi="Aptos"/>
        </w:rPr>
        <w:t xml:space="preserve">12.1 Facts</w:t>
      </w:r>
    </w:p>
    <w:p>
      <w:pPr>
        <w:pStyle w:val="ListParagraph"/>
        <w:numPr>
          <w:ilvl w:val="0"/>
          <w:numId w:val="3"/>
        </w:numPr>
        <w:spacing w:after="60" w:before="0"/>
      </w:pPr>
      <w:r>
        <w:rPr>
          <w:rFonts w:ascii="Aptos" w:cs="Aptos" w:eastAsia="Aptos" w:hAnsi="Aptos"/>
        </w:rPr>
        <w:t xml:space="preserve">Islamic content gets 25% off each per-minute rate (not the package fee), after common safety verification and Islamic verification.</w:t>
      </w:r>
    </w:p>
    <w:p>
      <w:pPr>
        <w:pStyle w:val="ListParagraph"/>
        <w:numPr>
          <w:ilvl w:val="0"/>
          <w:numId w:val="3"/>
        </w:numPr>
        <w:spacing w:after="60" w:before="0"/>
      </w:pPr>
      <w:r>
        <w:rPr>
          <w:rFonts w:ascii="Aptos" w:cs="Aptos" w:eastAsia="Aptos" w:hAnsi="Aptos"/>
        </w:rPr>
        <w:t xml:space="preserve">The client picks the Islamic or General plan per project; a mismatch guard offers a switch but never switches silently. The AI checks whether content is Islamic and whether Quran and hadith quotations match a verified text, with a confidence score. Confident results are discounted automatically; unsure results or mismatches go to human reviewers.</w:t>
      </w:r>
    </w:p>
    <w:p>
      <w:pPr>
        <w:pStyle w:val="ListParagraph"/>
        <w:numPr>
          <w:ilvl w:val="0"/>
          <w:numId w:val="3"/>
        </w:numPr>
        <w:spacing w:after="60" w:before="0"/>
      </w:pPr>
      <w:r>
        <w:rPr>
          <w:rFonts w:ascii="Aptos" w:cs="Aptos" w:eastAsia="Aptos" w:hAnsi="Aptos"/>
        </w:rPr>
        <w:t xml:space="preserve">Two named reviewers before the Free Beta; more can be added; queue alert. Review in 3–7 days; nothing charged before approval. Audit trail of score, reviewer, time, decision and reason; appeal available.</w:t>
      </w:r>
    </w:p>
    <w:p>
      <w:pPr>
        <w:pStyle w:val="ListParagraph"/>
        <w:numPr>
          <w:ilvl w:val="0"/>
          <w:numId w:val="3"/>
        </w:numPr>
        <w:spacing w:after="60" w:before="0"/>
      </w:pPr>
      <w:r>
        <w:rPr>
          <w:rFonts w:ascii="Aptos" w:cs="Aptos" w:eastAsia="Aptos" w:hAnsi="Aptos"/>
        </w:rPr>
        <w:t xml:space="preserve">Production rules: Arabic text only as an overlay; prayer scenes always human-reviewed; unverified quotations never labelled verified.</w:t>
      </w:r>
    </w:p>
    <w:p>
      <w:pPr>
        <w:pStyle w:val="ListParagraph"/>
        <w:numPr>
          <w:ilvl w:val="0"/>
          <w:numId w:val="3"/>
        </w:numPr>
        <w:spacing w:after="60" w:before="0"/>
      </w:pPr>
      <w:r>
        <w:rPr>
          <w:rFonts w:ascii="Aptos" w:cs="Aptos" w:eastAsia="Aptos" w:hAnsi="Aptos"/>
        </w:rPr>
        <w:t xml:space="preserve">The content policy blocks religious hatred and communal incitement. Bulk Islamic content for monetising clients is a stated use (platform risk, chapter 11). A Middle East pack with Gulf and Egyptian Arabic voices is approved.</w:t>
      </w:r>
    </w:p>
    <w:p>
      <w:pPr>
        <w:pStyle w:val="ListParagraph"/>
        <w:numPr>
          <w:ilvl w:val="0"/>
          <w:numId w:val="3"/>
        </w:numPr>
        <w:spacing w:after="60" w:before="0"/>
      </w:pPr>
      <w:r>
        <w:rPr>
          <w:rFonts w:ascii="Aptos" w:cs="Aptos" w:eastAsia="Aptos" w:hAnsi="Aptos"/>
        </w:rPr>
        <w:t xml:space="preserve">NexaTute teaches religion in Class III (NCTB) and offers live Quran lessons with a human teacher.</w:t>
      </w:r>
    </w:p>
    <w:p>
      <w:pPr>
        <w:pStyle w:val="Heading2"/>
      </w:pPr>
      <w:r>
        <w:rPr>
          <w:rFonts w:ascii="Aptos" w:cs="Aptos" w:eastAsia="Aptos" w:hAnsi="Aptos"/>
        </w:rPr>
        <w:t xml:space="preserve">12.2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1"/>
        <w:gridCol w:w="3881"/>
        <w:gridCol w:w="1544"/>
      </w:tblGrid>
      <w:tr>
        <w:trPr>
          <w:cantSplit/>
          <w:tblHeader/>
        </w:trPr>
        <w:tc>
          <w:tcPr>
            <w:tcW w:type="dxa" w:w="388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388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and key point</w:t>
            </w:r>
          </w:p>
        </w:tc>
        <w:tc>
          <w:tcPr>
            <w:tcW w:type="dxa" w:w="15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Cyber Security Ordinance 2025 / Act 2026</w:t>
            </w:r>
          </w:p>
        </w:tc>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2023 offence of hurting religious sentiment was annulled in 2025; whether an equivalent returned in 2026 is not confirmed</w:t>
            </w:r>
          </w:p>
        </w:tc>
        <w:tc>
          <w:tcPr>
            <w:tcW w:type="dxa" w:w="1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low</w:t>
            </w:r>
          </w:p>
        </w:tc>
      </w:tr>
      <w:tr>
        <w:trPr>
          <w:cantSplit/>
        </w:trPr>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Penal Code, 1860, offences relating to religion (for example s.295A, deliberate and malicious acts intended to outrage religious feelings)</w:t>
            </w:r>
          </w:p>
        </w:tc>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force as far as known; not in the research note</w:t>
            </w:r>
          </w:p>
        </w:tc>
        <w:tc>
          <w:tcPr>
            <w:tcW w:type="dxa" w:w="1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r>
        <w:trPr>
          <w:cantSplit/>
        </w:trPr>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Consumers' Right Protection Act, 2009</w:t>
            </w:r>
          </w:p>
        </w:tc>
        <w:tc>
          <w:tcPr>
            <w:tcW w:type="dxa" w:w="388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Calling content "verified" when it is not, or denying a promised discount, may be a misleading statement or unsupplied service</w:t>
            </w:r>
          </w:p>
        </w:tc>
        <w:tc>
          <w:tcPr>
            <w:tcW w:type="dxa" w:w="1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law requiring certification of Islamic digital content was found</w:t>
            </w:r>
          </w:p>
        </w:tc>
        <w:tc>
          <w:tcPr>
            <w:tcW w:type="dxa" w:w="388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Verification is a quality programme, not a legal certification</w:t>
            </w:r>
          </w:p>
        </w:tc>
        <w:tc>
          <w:tcPr>
            <w:tcW w:type="dxa" w:w="1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to confirm]</w:t>
            </w:r>
          </w:p>
        </w:tc>
      </w:tr>
    </w:tbl>
    <w:p>
      <w:pPr>
        <w:spacing w:after="120" w:before="0"/>
      </w:pPr>
    </w:p>
    <w:p>
      <w:pPr>
        <w:pStyle w:val="Heading2"/>
      </w:pPr>
      <w:r>
        <w:rPr>
          <w:rFonts w:ascii="Aptos" w:cs="Aptos" w:eastAsia="Aptos" w:hAnsi="Aptos"/>
        </w:rPr>
        <w:t xml:space="preserve">12.3 Our proposed position</w:t>
      </w:r>
    </w:p>
    <w:p>
      <w:pPr>
        <w:pStyle w:val="ListParagraph"/>
        <w:numPr>
          <w:ilvl w:val="0"/>
          <w:numId w:val="26"/>
        </w:numPr>
        <w:spacing w:after="60" w:before="0"/>
      </w:pPr>
      <w:r>
        <w:rPr>
          <w:rFonts w:ascii="Aptos" w:cs="Aptos" w:eastAsia="Aptos" w:hAnsi="Aptos"/>
        </w:rPr>
        <w:t xml:space="preserve">Wording: "Islamic content review" and "reviewed by our Islamic content reviewers"; never "certified", "halal-certified", "fatwa" or "approved by" any religious authority (default, editable).</w:t>
      </w:r>
    </w:p>
    <w:p>
      <w:pPr>
        <w:pStyle w:val="ListParagraph"/>
        <w:numPr>
          <w:ilvl w:val="0"/>
          <w:numId w:val="26"/>
        </w:numPr>
        <w:spacing w:after="60" w:before="0"/>
      </w:pPr>
      <w:r>
        <w:rPr>
          <w:rFonts w:ascii="Aptos" w:cs="Aptos" w:eastAsia="Aptos" w:hAnsi="Aptos"/>
        </w:rPr>
        <w:t xml:space="preserve">Scope: accuracy of quotations against a named verified text, respectful depiction, policy compliance. Reviewers do not issue rulings; content taking a side on questions disputed between schools of thought is reviewed for quotation accuracy only and is not discounted (default, editable).</w:t>
      </w:r>
    </w:p>
    <w:p>
      <w:pPr>
        <w:pStyle w:val="ListParagraph"/>
        <w:numPr>
          <w:ilvl w:val="0"/>
          <w:numId w:val="26"/>
        </w:numPr>
        <w:spacing w:after="60" w:before="0"/>
      </w:pPr>
      <w:r>
        <w:rPr>
          <w:rFonts w:ascii="Aptos" w:cs="Aptos" w:eastAsia="Aptos" w:hAnsi="Aptos"/>
        </w:rPr>
        <w:t xml:space="preserve">Depiction rules (default, editable): no visual depiction of prophets, their family or companions, or angels; sacred places and objects shown respectfully; Quran text only as an overlay from the verified source; recitation only from licensed or own recordings, not AI-generated, unless reviewers approve that category.</w:t>
      </w:r>
    </w:p>
    <w:p>
      <w:pPr>
        <w:pStyle w:val="ListParagraph"/>
        <w:numPr>
          <w:ilvl w:val="0"/>
          <w:numId w:val="26"/>
        </w:numPr>
        <w:spacing w:after="60" w:before="0"/>
      </w:pPr>
      <w:r>
        <w:rPr>
          <w:rFonts w:ascii="Aptos" w:cs="Aptos" w:eastAsia="Aptos" w:hAnsi="Aptos"/>
        </w:rPr>
        <w:t xml:space="preserve">Text sources (Quran text, translations, hadith collections) recorded in the licence register; modern translations are copyright works [to insert sources].</w:t>
      </w:r>
    </w:p>
    <w:p>
      <w:pPr>
        <w:pStyle w:val="ListParagraph"/>
        <w:numPr>
          <w:ilvl w:val="0"/>
          <w:numId w:val="26"/>
        </w:numPr>
        <w:spacing w:after="60" w:before="0"/>
      </w:pPr>
      <w:r>
        <w:rPr>
          <w:rFonts w:ascii="Aptos" w:cs="Aptos" w:eastAsia="Aptos" w:hAnsi="Aptos"/>
        </w:rPr>
        <w:t xml:space="preserve">Reviewers sign contracts with confidentiality, conflict-of-interest and data clauses; a written review guideline; second review on appeal; names not shown publicly unless they agree.</w:t>
      </w:r>
    </w:p>
    <w:p>
      <w:pPr>
        <w:pStyle w:val="ListParagraph"/>
        <w:numPr>
          <w:ilvl w:val="0"/>
          <w:numId w:val="26"/>
        </w:numPr>
        <w:spacing w:after="60" w:before="0"/>
      </w:pPr>
      <w:r>
        <w:rPr>
          <w:rFonts w:ascii="Aptos" w:cs="Aptos" w:eastAsia="Aptos" w:hAnsi="Aptos"/>
        </w:rPr>
        <w:t xml:space="preserve">The same respect rules apply to all religions; mockery of any religion and communal incitement are blocked; unclear cases go to a person.</w:t>
      </w:r>
    </w:p>
    <w:p>
      <w:pPr>
        <w:pStyle w:val="ListParagraph"/>
        <w:numPr>
          <w:ilvl w:val="0"/>
          <w:numId w:val="26"/>
        </w:numPr>
        <w:spacing w:after="60" w:before="0"/>
      </w:pPr>
      <w:r>
        <w:rPr>
          <w:rFonts w:ascii="Aptos" w:cs="Aptos" w:eastAsia="Aptos" w:hAnsi="Aptos"/>
        </w:rPr>
        <w:t xml:space="preserve">If a discounted video is later found not to be Islamic content, the difference is charged only after notice and appeal; never for the company's own review error.</w:t>
      </w:r>
    </w:p>
    <w:p>
      <w:pPr>
        <w:pStyle w:val="ListParagraph"/>
        <w:numPr>
          <w:ilvl w:val="0"/>
          <w:numId w:val="26"/>
        </w:numPr>
        <w:spacing w:after="60" w:before="0"/>
      </w:pPr>
      <w:r>
        <w:rPr>
          <w:rFonts w:ascii="Aptos" w:cs="Aptos" w:eastAsia="Aptos" w:hAnsi="Aptos"/>
        </w:rPr>
        <w:t xml:space="preserve">NexaTute Quran teachers follow the child safeguarding rules (chapter 8) and the curriculum, without sectarian content.</w:t>
      </w:r>
    </w:p>
    <w:p>
      <w:pPr>
        <w:pStyle w:val="Heading2"/>
      </w:pPr>
      <w:r>
        <w:rPr>
          <w:rFonts w:ascii="Aptos" w:cs="Aptos" w:eastAsia="Aptos" w:hAnsi="Aptos"/>
        </w:rPr>
        <w:t xml:space="preserve">12.4 Risks if wrong</w:t>
      </w:r>
    </w:p>
    <w:p>
      <w:pPr>
        <w:pStyle w:val="ListParagraph"/>
        <w:numPr>
          <w:ilvl w:val="0"/>
          <w:numId w:val="3"/>
        </w:numPr>
        <w:spacing w:after="60" w:before="0"/>
      </w:pPr>
      <w:r>
        <w:rPr>
          <w:rFonts w:ascii="Aptos" w:cs="Aptos" w:eastAsia="Aptos" w:hAnsi="Aptos"/>
        </w:rPr>
        <w:t xml:space="preserve">A wrong quotation or offensive depiction can cause public outrage, police complaints, platform reports and threats to staff, whatever the legal outcome.</w:t>
      </w:r>
    </w:p>
    <w:p>
      <w:pPr>
        <w:pStyle w:val="ListParagraph"/>
        <w:numPr>
          <w:ilvl w:val="0"/>
          <w:numId w:val="3"/>
        </w:numPr>
        <w:spacing w:after="60" w:before="0"/>
      </w:pPr>
      <w:r>
        <w:rPr>
          <w:rFonts w:ascii="Aptos" w:cs="Aptos" w:eastAsia="Aptos" w:hAnsi="Aptos"/>
        </w:rPr>
        <w:t xml:space="preserve">Criminal complaints under the Penal Code or a revived cyber offence.</w:t>
      </w:r>
    </w:p>
    <w:p>
      <w:pPr>
        <w:pStyle w:val="ListParagraph"/>
        <w:numPr>
          <w:ilvl w:val="0"/>
          <w:numId w:val="3"/>
        </w:numPr>
        <w:spacing w:after="60" w:before="0"/>
      </w:pPr>
      <w:r>
        <w:rPr>
          <w:rFonts w:ascii="Aptos" w:cs="Aptos" w:eastAsia="Aptos" w:hAnsi="Aptos"/>
        </w:rPr>
        <w:t xml:space="preserve">Consumer complaints about "verified" errors or refused discounts; review delays as unsupplied services.</w:t>
      </w:r>
    </w:p>
    <w:p>
      <w:pPr>
        <w:pStyle w:val="Heading2"/>
      </w:pPr>
      <w:r>
        <w:rPr>
          <w:rFonts w:ascii="Aptos" w:cs="Aptos" w:eastAsia="Aptos" w:hAnsi="Aptos"/>
        </w:rPr>
        <w:t xml:space="preserve">12.5 Questions for the lawyer</w:t>
      </w:r>
    </w:p>
    <w:p>
      <w:pPr>
        <w:pStyle w:val="ListParagraph"/>
        <w:numPr>
          <w:ilvl w:val="0"/>
          <w:numId w:val="27"/>
        </w:numPr>
        <w:spacing w:after="60" w:before="0"/>
      </w:pPr>
      <w:r>
        <w:rPr>
          <w:rFonts w:ascii="Aptos" w:cs="Aptos" w:eastAsia="Aptos" w:hAnsi="Aptos"/>
        </w:rPr>
        <w:t xml:space="preserve">Which religion-related offences now apply to online and AI content after the 2025–2026 cyber-law changes?</w:t>
      </w:r>
    </w:p>
    <w:p>
      <w:pPr>
        <w:pStyle w:val="ListParagraph"/>
        <w:numPr>
          <w:ilvl w:val="0"/>
          <w:numId w:val="27"/>
        </w:numPr>
        <w:spacing w:after="60" w:before="0"/>
      </w:pPr>
      <w:r>
        <w:rPr>
          <w:rFonts w:ascii="Aptos" w:cs="Aptos" w:eastAsia="Aptos" w:hAnsi="Aptos"/>
        </w:rPr>
        <w:t xml:space="preserve">Is "reviewed by our Islamic content reviewers" safe, and what disclaimer should go with it?</w:t>
      </w:r>
    </w:p>
    <w:p>
      <w:pPr>
        <w:pStyle w:val="ListParagraph"/>
        <w:numPr>
          <w:ilvl w:val="0"/>
          <w:numId w:val="27"/>
        </w:numPr>
        <w:spacing w:after="60" w:before="0"/>
      </w:pPr>
      <w:r>
        <w:rPr>
          <w:rFonts w:ascii="Aptos" w:cs="Aptos" w:eastAsia="Aptos" w:hAnsi="Aptos"/>
        </w:rPr>
        <w:t xml:space="preserve">Should the depiction rules be published in the Content Policy or kept internal?</w:t>
      </w:r>
    </w:p>
    <w:p>
      <w:pPr>
        <w:pStyle w:val="ListParagraph"/>
        <w:numPr>
          <w:ilvl w:val="0"/>
          <w:numId w:val="27"/>
        </w:numPr>
        <w:spacing w:after="60" w:before="0"/>
      </w:pPr>
      <w:r>
        <w:rPr>
          <w:rFonts w:ascii="Aptos" w:cs="Aptos" w:eastAsia="Aptos" w:hAnsi="Aptos"/>
        </w:rPr>
        <w:t xml:space="preserve">What liability do individual reviewers carry, and what indemnity should they receive?</w:t>
      </w:r>
    </w:p>
    <w:p>
      <w:pPr>
        <w:pStyle w:val="ListParagraph"/>
        <w:numPr>
          <w:ilvl w:val="0"/>
          <w:numId w:val="27"/>
        </w:numPr>
        <w:spacing w:after="60" w:before="0"/>
      </w:pPr>
      <w:r>
        <w:rPr>
          <w:rFonts w:ascii="Aptos" w:cs="Aptos" w:eastAsia="Aptos" w:hAnsi="Aptos"/>
        </w:rPr>
        <w:t xml:space="preserve">Are there licence limits on the digital Quran text, translations and hadith collections to be used?</w:t>
      </w:r>
    </w:p>
    <w:p>
      <w:pPr>
        <w:pStyle w:val="ListParagraph"/>
        <w:numPr>
          <w:ilvl w:val="0"/>
          <w:numId w:val="27"/>
        </w:numPr>
        <w:spacing w:after="60" w:before="0"/>
      </w:pPr>
      <w:r>
        <w:rPr>
          <w:rFonts w:ascii="Aptos" w:cs="Aptos" w:eastAsia="Aptos" w:hAnsi="Aptos"/>
        </w:rPr>
        <w:t xml:space="preserve">Is AI-generated Quran recitation lawful and advisable?</w:t>
      </w:r>
    </w:p>
    <w:p>
      <w:pPr>
        <w:pStyle w:val="Heading2"/>
      </w:pPr>
      <w:r>
        <w:rPr>
          <w:rFonts w:ascii="Aptos" w:cs="Aptos" w:eastAsia="Aptos" w:hAnsi="Aptos"/>
        </w:rPr>
        <w:t xml:space="preserve">12.6 Documents and actions needed</w:t>
      </w:r>
    </w:p>
    <w:p>
      <w:pPr>
        <w:pStyle w:val="ListParagraph"/>
        <w:numPr>
          <w:ilvl w:val="0"/>
          <w:numId w:val="3"/>
        </w:numPr>
        <w:spacing w:after="60" w:before="0"/>
      </w:pPr>
      <w:r>
        <w:rPr>
          <w:rFonts w:ascii="Aptos" w:cs="Aptos" w:eastAsia="Aptos" w:hAnsi="Aptos"/>
        </w:rPr>
        <w:t xml:space="preserve">Islamic content review guideline (scope, depiction rules, sources, appeals).</w:t>
      </w:r>
    </w:p>
    <w:p>
      <w:pPr>
        <w:pStyle w:val="ListParagraph"/>
        <w:numPr>
          <w:ilvl w:val="0"/>
          <w:numId w:val="3"/>
        </w:numPr>
        <w:spacing w:after="60" w:before="0"/>
      </w:pPr>
      <w:r>
        <w:rPr>
          <w:rFonts w:ascii="Aptos" w:cs="Aptos" w:eastAsia="Aptos" w:hAnsi="Aptos"/>
        </w:rPr>
        <w:t xml:space="preserve">Reviewer contracts; religious-content clauses in the Content Policy.</w:t>
      </w:r>
    </w:p>
    <w:p>
      <w:pPr>
        <w:pStyle w:val="ListParagraph"/>
        <w:numPr>
          <w:ilvl w:val="0"/>
          <w:numId w:val="3"/>
        </w:numPr>
        <w:spacing w:after="60" w:before="0"/>
      </w:pPr>
      <w:r>
        <w:rPr>
          <w:rFonts w:ascii="Aptos" w:cs="Aptos" w:eastAsia="Aptos" w:hAnsi="Aptos"/>
        </w:rPr>
        <w:t xml:space="preserve">Licence record for the text sources; staff incident plan for public outrage or threats.</w:t>
      </w:r>
    </w:p>
    <w:p>
      <w:pPr>
        <w:pStyle w:val="Heading1"/>
        <w:pageBreakBefore/>
      </w:pPr>
      <w:r>
        <w:rPr>
          <w:rFonts w:ascii="Aptos" w:cs="Aptos" w:eastAsia="Aptos" w:hAnsi="Aptos"/>
        </w:rPr>
        <w:t xml:space="preserve">13. Employment, Contractors and Performers</w:t>
      </w:r>
    </w:p>
    <w:p>
      <w:pPr>
        <w:spacing w:after="140" w:before="0" w:line="288"/>
      </w:pPr>
      <w:r>
        <w:rPr>
          <w:rFonts w:ascii="Aptos" w:cs="Aptos" w:eastAsia="Aptos" w:hAnsi="Aptos"/>
        </w:rPr>
        <w:t xml:space="preserve">Covers employees (including night-shift support), contractors, voice artists, actors and presenters, photographers, reviewers, teachers and counsellors, and programme partners. Employment law was not in the research note; every legal statement here is [lawyer to confirm].</w:t>
      </w:r>
    </w:p>
    <w:p>
      <w:pPr>
        <w:pStyle w:val="Heading2"/>
      </w:pPr>
      <w:r>
        <w:rPr>
          <w:rFonts w:ascii="Aptos" w:cs="Aptos" w:eastAsia="Aptos" w:hAnsi="Aptos"/>
        </w:rPr>
        <w:t xml:space="preserve">13.1 Facts</w:t>
      </w:r>
    </w:p>
    <w:p>
      <w:pPr>
        <w:pStyle w:val="ListParagraph"/>
        <w:numPr>
          <w:ilvl w:val="0"/>
          <w:numId w:val="3"/>
        </w:numPr>
        <w:spacing w:after="60" w:before="0"/>
      </w:pPr>
      <w:r>
        <w:rPr>
          <w:rFonts w:ascii="Aptos" w:cs="Aptos" w:eastAsia="Aptos" w:hAnsi="Aptos"/>
        </w:rPr>
        <w:t xml:space="preserve">Planned roles: CTO, backend, full-stack and AI/ML engineers, content lead and writers, marketing manager, customer support. The hiring plan notes that any probation must be in compliant employment contracts.</w:t>
      </w:r>
    </w:p>
    <w:p>
      <w:pPr>
        <w:pStyle w:val="ListParagraph"/>
        <w:numPr>
          <w:ilvl w:val="0"/>
          <w:numId w:val="3"/>
        </w:numPr>
        <w:spacing w:after="60" w:before="0"/>
      </w:pPr>
      <w:r>
        <w:rPr>
          <w:rFonts w:ascii="Aptos" w:cs="Aptos" w:eastAsia="Aptos" w:hAnsi="Aptos"/>
        </w:rPr>
        <w:t xml:space="preserve">24-hour English support (AI first, then human) with at least one night-shift person; headcount and budget by the owner.</w:t>
      </w:r>
    </w:p>
    <w:p>
      <w:pPr>
        <w:pStyle w:val="ListParagraph"/>
        <w:numPr>
          <w:ilvl w:val="0"/>
          <w:numId w:val="3"/>
        </w:numPr>
        <w:spacing w:after="60" w:before="0"/>
      </w:pPr>
      <w:r>
        <w:rPr>
          <w:rFonts w:ascii="Aptos" w:cs="Aptos" w:eastAsia="Aptos" w:hAnsi="Aptos"/>
        </w:rPr>
        <w:t xml:space="preserve">Reviewers: Islamic reviewers (two named); safety, appeal, takedown and child-safety reviewers with on-call cover (not yet budgeted).</w:t>
      </w:r>
    </w:p>
    <w:p>
      <w:pPr>
        <w:pStyle w:val="ListParagraph"/>
        <w:numPr>
          <w:ilvl w:val="0"/>
          <w:numId w:val="3"/>
        </w:numPr>
        <w:spacing w:after="60" w:before="0"/>
      </w:pPr>
      <w:r>
        <w:rPr>
          <w:rFonts w:ascii="Aptos" w:cs="Aptos" w:eastAsia="Aptos" w:hAnsi="Aptos"/>
        </w:rPr>
        <w:t xml:space="preserve">Paid adult voice artists for library and child-character voices (8 emotions, six languages, dialects); stock presenters (paid consenting actors with releases); stock clips sold externally with model releases; photographers for 2–3 days of shooting.</w:t>
      </w:r>
    </w:p>
    <w:p>
      <w:pPr>
        <w:pStyle w:val="ListParagraph"/>
        <w:numPr>
          <w:ilvl w:val="0"/>
          <w:numId w:val="3"/>
        </w:numPr>
        <w:spacing w:after="60" w:before="0"/>
      </w:pPr>
      <w:r>
        <w:rPr>
          <w:rFonts w:ascii="Aptos" w:cs="Aptos" w:eastAsia="Aptos" w:hAnsi="Aptos"/>
        </w:rPr>
        <w:t xml:space="preserve">Counsellors contracted per call (৳100 per 15 minutes); live Quran teachers and project mentors (proposed, same rate); Nexa Co-Teachers; teacher-marketplace sellers.</w:t>
      </w:r>
    </w:p>
    <w:p>
      <w:pPr>
        <w:pStyle w:val="ListParagraph"/>
        <w:numPr>
          <w:ilvl w:val="0"/>
          <w:numId w:val="3"/>
        </w:numPr>
        <w:spacing w:after="60" w:before="0"/>
      </w:pPr>
      <w:r>
        <w:rPr>
          <w:rFonts w:ascii="Aptos" w:cs="Aptos" w:eastAsia="Aptos" w:hAnsi="Aptos"/>
        </w:rPr>
        <w:t xml:space="preserve">Resellers, affiliates (10% for 3 months, tax withheld), marketplace sellers (80%), monthly creator challenge.</w:t>
      </w:r>
    </w:p>
    <w:p>
      <w:pPr>
        <w:pStyle w:val="Heading2"/>
      </w:pPr>
      <w:r>
        <w:rPr>
          <w:rFonts w:ascii="Aptos" w:cs="Aptos" w:eastAsia="Aptos" w:hAnsi="Aptos"/>
        </w:rPr>
        <w:t xml:space="preserve">13.2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8"/>
        <w:gridCol w:w="4123"/>
        <w:gridCol w:w="2195"/>
      </w:tblGrid>
      <w:tr>
        <w:trPr>
          <w:cantSplit/>
          <w:tblHeader/>
        </w:trPr>
        <w:tc>
          <w:tcPr>
            <w:tcW w:type="dxa" w:w="29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4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Key point</w:t>
            </w:r>
          </w:p>
        </w:tc>
        <w:tc>
          <w:tcPr>
            <w:tcW w:type="dxa" w:w="219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Labour Act, 2006 (as amended) and Labour Rules, 2015</w:t>
            </w:r>
          </w:p>
        </w:tc>
        <w:tc>
          <w:tcPr>
            <w:tcW w:type="dxa" w:w="4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Appointment letters, probation, hours, overtime, leave, termination; whether IT office staff are "workers" or excluded as managerial or administrative; night-work rules, including any consent requirement for women</w:t>
            </w:r>
          </w:p>
        </w:tc>
        <w:tc>
          <w:tcPr>
            <w:tcW w:type="dxa" w:w="21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researched [lawyer to confirm]</w:t>
            </w:r>
          </w:p>
        </w:tc>
      </w:tr>
      <w:tr>
        <w:trPr>
          <w:cantSplit/>
        </w:trPr>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Act, 2023</w:t>
            </w:r>
          </w:p>
        </w:tc>
        <w:tc>
          <w:tcPr>
            <w:tcW w:type="dxa" w:w="4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Employee works belong to the employer; contractors' works need written assignment</w:t>
            </w:r>
          </w:p>
        </w:tc>
        <w:tc>
          <w:tcPr>
            <w:tcW w:type="dxa" w:w="21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Act, 1872</w:t>
            </w:r>
          </w:p>
        </w:tc>
        <w:tc>
          <w:tcPr>
            <w:tcW w:type="dxa" w:w="4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Contractors, performers and reviewers engaged by contract</w:t>
            </w:r>
          </w:p>
        </w:tc>
        <w:tc>
          <w:tcPr>
            <w:tcW w:type="dxa" w:w="21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r>
      <w:tr>
        <w:trPr>
          <w:cantSplit/>
        </w:trPr>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Income Tax Act, 2023</w:t>
            </w:r>
          </w:p>
        </w:tc>
        <w:tc>
          <w:tcPr>
            <w:tcW w:type="dxa" w:w="4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Tax deducted at source on salaries and contractor payments (chapter 4)</w:t>
            </w:r>
          </w:p>
        </w:tc>
        <w:tc>
          <w:tcPr>
            <w:tcW w:type="dxa" w:w="21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r>
        <w:trPr>
          <w:cantSplit/>
        </w:trPr>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California AB 2602</w:t>
            </w:r>
          </w:p>
        </w:tc>
        <w:tc>
          <w:tcPr>
            <w:tcW w:type="dxa" w:w="4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Digital-replica clauses need specific description and the performer's representation (if any performer is under California law)</w:t>
            </w:r>
          </w:p>
        </w:tc>
        <w:tc>
          <w:tcPr>
            <w:tcW w:type="dxa" w:w="21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r>
    </w:tbl>
    <w:p>
      <w:pPr>
        <w:spacing w:after="120" w:before="0"/>
      </w:pPr>
    </w:p>
    <w:p>
      <w:pPr>
        <w:pStyle w:val="Heading2"/>
      </w:pPr>
      <w:r>
        <w:rPr>
          <w:rFonts w:ascii="Aptos" w:cs="Aptos" w:eastAsia="Aptos" w:hAnsi="Aptos"/>
        </w:rPr>
        <w:t xml:space="preserve">13.3 Our proposed position</w:t>
      </w:r>
    </w:p>
    <w:p>
      <w:pPr>
        <w:pStyle w:val="ListParagraph"/>
        <w:numPr>
          <w:ilvl w:val="0"/>
          <w:numId w:val="28"/>
        </w:numPr>
        <w:spacing w:after="60" w:before="0"/>
      </w:pPr>
      <w:r>
        <w:rPr>
          <w:rFonts w:ascii="Aptos" w:cs="Aptos" w:eastAsia="Aptos" w:hAnsi="Aptos"/>
        </w:rPr>
        <w:t xml:space="preserve">Employees: written appointment letters from day one covering probation, hours, pay, leave, notice, confidentiality, data protection, acceptable use and assignment of all work-related IP; a staff privacy notice explaining monitoring of work systems.</w:t>
      </w:r>
    </w:p>
    <w:p>
      <w:pPr>
        <w:pStyle w:val="ListParagraph"/>
        <w:numPr>
          <w:ilvl w:val="0"/>
          <w:numId w:val="28"/>
        </w:numPr>
        <w:spacing w:after="60" w:before="0"/>
      </w:pPr>
      <w:r>
        <w:rPr>
          <w:rFonts w:ascii="Aptos" w:cs="Aptos" w:eastAsia="Aptos" w:hAnsi="Aptos"/>
        </w:rPr>
        <w:t xml:space="preserve">Night shift: voluntary with written consent; transport or allowance after a set hour (default, editable); shift or overtime pay as the law requires; any special rule for women applied exactly as the lawyer advises.</w:t>
      </w:r>
    </w:p>
    <w:p>
      <w:pPr>
        <w:pStyle w:val="ListParagraph"/>
        <w:numPr>
          <w:ilvl w:val="0"/>
          <w:numId w:val="28"/>
        </w:numPr>
        <w:spacing w:after="60" w:before="0"/>
      </w:pPr>
      <w:r>
        <w:rPr>
          <w:rFonts w:ascii="Aptos" w:cs="Aptos" w:eastAsia="Aptos" w:hAnsi="Aptos"/>
        </w:rPr>
        <w:t xml:space="preserve">Contractors: written service agreements with scope, fees and tax deduction, full assignment of rights in deliverables, confidentiality, data-processing terms and data return or deletion; avoid treating long-term full-time contractors as employees without employment terms.</w:t>
      </w:r>
    </w:p>
    <w:p>
      <w:pPr>
        <w:pStyle w:val="ListParagraph"/>
        <w:numPr>
          <w:ilvl w:val="0"/>
          <w:numId w:val="28"/>
        </w:numPr>
        <w:spacing w:after="60" w:before="0"/>
      </w:pPr>
      <w:r>
        <w:rPr>
          <w:rFonts w:ascii="Aptos" w:cs="Aptos" w:eastAsia="Aptos" w:hAnsi="Aptos"/>
        </w:rPr>
        <w:t xml:space="preserve">Performer agreements (voice artists, actors, presenters), signed before every session:</w:t>
      </w:r>
    </w:p>
    <w:p>
      <w:pPr>
        <w:pStyle w:val="ListParagraph"/>
        <w:numPr>
          <w:ilvl w:val="1"/>
          <w:numId w:val="3"/>
        </w:numPr>
        <w:spacing w:after="60" w:before="0"/>
      </w:pPr>
      <w:r>
        <w:rPr>
          <w:rFonts w:ascii="Aptos" w:cs="Aptos" w:eastAsia="Aptos" w:hAnsi="Aptos"/>
        </w:rPr>
        <w:t xml:space="preserve">consent to record, clone and synthesise, with scope stated specifically (products, languages, emotions, child-character styling, derived voices, licence to clients, stock sale);</w:t>
      </w:r>
    </w:p>
    <w:p>
      <w:pPr>
        <w:pStyle w:val="ListParagraph"/>
        <w:numPr>
          <w:ilvl w:val="1"/>
          <w:numId w:val="3"/>
        </w:numPr>
        <w:spacing w:after="60" w:before="0"/>
      </w:pPr>
      <w:r>
        <w:rPr>
          <w:rFonts w:ascii="Aptos" w:cs="Aptos" w:eastAsia="Aptos" w:hAnsi="Aptos"/>
        </w:rPr>
        <w:t xml:space="preserve">duration; payment (fixed fee and any royalty set by the owner);</w:t>
      </w:r>
    </w:p>
    <w:p>
      <w:pPr>
        <w:pStyle w:val="ListParagraph"/>
        <w:numPr>
          <w:ilvl w:val="1"/>
          <w:numId w:val="3"/>
        </w:numPr>
        <w:spacing w:after="60" w:before="0"/>
      </w:pPr>
      <w:r>
        <w:rPr>
          <w:rFonts w:ascii="Aptos" w:cs="Aptos" w:eastAsia="Aptos" w:hAnsi="Aptos"/>
        </w:rPr>
        <w:t xml:space="preserve">withdrawal with 30 days' notice (default, editable): no new renders afterwards, delivered videos remain;</w:t>
      </w:r>
    </w:p>
    <w:p>
      <w:pPr>
        <w:pStyle w:val="ListParagraph"/>
        <w:numPr>
          <w:ilvl w:val="1"/>
          <w:numId w:val="3"/>
        </w:numPr>
        <w:spacing w:after="60" w:before="0"/>
      </w:pPr>
      <w:r>
        <w:rPr>
          <w:rFonts w:ascii="Aptos" w:cs="Aptos" w:eastAsia="Aptos" w:hAnsi="Aptos"/>
        </w:rPr>
        <w:t xml:space="preserve">prohibited uses (political, sexual, defamatory, scam, religious misrepresentation);</w:t>
      </w:r>
    </w:p>
    <w:p>
      <w:pPr>
        <w:pStyle w:val="ListParagraph"/>
        <w:numPr>
          <w:ilvl w:val="1"/>
          <w:numId w:val="3"/>
        </w:numPr>
        <w:spacing w:after="60" w:before="0"/>
      </w:pPr>
      <w:r>
        <w:rPr>
          <w:rFonts w:ascii="Aptos" w:cs="Aptos" w:eastAsia="Aptos" w:hAnsi="Aptos"/>
        </w:rPr>
        <w:t xml:space="preserve">performer-rights and moral-rights consents as far as the law allows;</w:t>
      </w:r>
    </w:p>
    <w:p>
      <w:pPr>
        <w:pStyle w:val="ListParagraph"/>
        <w:numPr>
          <w:ilvl w:val="1"/>
          <w:numId w:val="3"/>
        </w:numPr>
        <w:spacing w:after="60" w:before="0"/>
      </w:pPr>
      <w:r>
        <w:rPr>
          <w:rFonts w:ascii="Aptos" w:cs="Aptos" w:eastAsia="Aptos" w:hAnsi="Aptos"/>
        </w:rPr>
        <w:t xml:space="preserve">the right to independent advice; age 18+ with identity checked; a privacy notice for voice and face data.</w:t>
      </w:r>
    </w:p>
    <w:p>
      <w:pPr>
        <w:pStyle w:val="ListParagraph"/>
        <w:numPr>
          <w:ilvl w:val="0"/>
          <w:numId w:val="28"/>
        </w:numPr>
        <w:spacing w:after="60" w:before="0"/>
      </w:pPr>
      <w:r>
        <w:rPr>
          <w:rFonts w:ascii="Aptos" w:cs="Aptos" w:eastAsia="Aptos" w:hAnsi="Aptos"/>
        </w:rPr>
        <w:t xml:space="preserve">Reviewers: contracts with confidentiality, conflict-of-interest clauses and indemnity for good-faith decisions; no reviewer views known child sexual abuse material (handled by hash matching and reporting); exposure limits and wellbeing support (default, editable).</w:t>
      </w:r>
    </w:p>
    <w:p>
      <w:pPr>
        <w:pStyle w:val="ListParagraph"/>
        <w:numPr>
          <w:ilvl w:val="0"/>
          <w:numId w:val="28"/>
        </w:numPr>
        <w:spacing w:after="60" w:before="0"/>
      </w:pPr>
      <w:r>
        <w:rPr>
          <w:rFonts w:ascii="Aptos" w:cs="Aptos" w:eastAsia="Aptos" w:hAnsi="Aptos"/>
        </w:rPr>
        <w:t xml:space="preserve">Teachers, mentors and counsellors: per-session agreements with safeguarding code, no off-platform contact with learners, data rules and quality standards; counsellors give no clinical treatment unless qualified [lawyer to confirm any licence].</w:t>
      </w:r>
    </w:p>
    <w:p>
      <w:pPr>
        <w:pStyle w:val="ListParagraph"/>
        <w:numPr>
          <w:ilvl w:val="0"/>
          <w:numId w:val="28"/>
        </w:numPr>
        <w:spacing w:after="60" w:before="0"/>
      </w:pPr>
      <w:r>
        <w:rPr>
          <w:rFonts w:ascii="Aptos" w:cs="Aptos" w:eastAsia="Aptos" w:hAnsi="Aptos"/>
        </w:rPr>
        <w:t xml:space="preserve">Resellers, affiliates, marketplace sellers and the creator challenge: written programme terms (commission, tax, prohibited claims, brand use, data, termination); no paid entry to challenges.</w:t>
      </w:r>
    </w:p>
    <w:p>
      <w:pPr>
        <w:pStyle w:val="Heading2"/>
      </w:pPr>
      <w:r>
        <w:rPr>
          <w:rFonts w:ascii="Aptos" w:cs="Aptos" w:eastAsia="Aptos" w:hAnsi="Aptos"/>
        </w:rPr>
        <w:t xml:space="preserve">13.4 Risks if wrong</w:t>
      </w:r>
    </w:p>
    <w:p>
      <w:pPr>
        <w:pStyle w:val="ListParagraph"/>
        <w:numPr>
          <w:ilvl w:val="0"/>
          <w:numId w:val="3"/>
        </w:numPr>
        <w:spacing w:after="60" w:before="0"/>
      </w:pPr>
      <w:r>
        <w:rPr>
          <w:rFonts w:ascii="Aptos" w:cs="Aptos" w:eastAsia="Aptos" w:hAnsi="Aptos"/>
        </w:rPr>
        <w:t xml:space="preserve">Labour claims and inspections; disputes over unpaid overtime or termination.</w:t>
      </w:r>
    </w:p>
    <w:p>
      <w:pPr>
        <w:pStyle w:val="ListParagraph"/>
        <w:numPr>
          <w:ilvl w:val="0"/>
          <w:numId w:val="3"/>
        </w:numPr>
        <w:spacing w:after="60" w:before="0"/>
      </w:pPr>
      <w:r>
        <w:rPr>
          <w:rFonts w:ascii="Aptos" w:cs="Aptos" w:eastAsia="Aptos" w:hAnsi="Aptos"/>
        </w:rPr>
        <w:t xml:space="preserve">Contractor work that stays the contractor's property without written assignment; failed investor due diligence.</w:t>
      </w:r>
    </w:p>
    <w:p>
      <w:pPr>
        <w:pStyle w:val="ListParagraph"/>
        <w:numPr>
          <w:ilvl w:val="0"/>
          <w:numId w:val="3"/>
        </w:numPr>
        <w:spacing w:after="60" w:before="0"/>
      </w:pPr>
      <w:r>
        <w:rPr>
          <w:rFonts w:ascii="Aptos" w:cs="Aptos" w:eastAsia="Aptos" w:hAnsi="Aptos"/>
        </w:rPr>
        <w:t xml:space="preserve">A voice artist disputing AI use, forcing library voices out of client projects.</w:t>
      </w:r>
    </w:p>
    <w:p>
      <w:pPr>
        <w:pStyle w:val="ListParagraph"/>
        <w:numPr>
          <w:ilvl w:val="0"/>
          <w:numId w:val="3"/>
        </w:numPr>
        <w:spacing w:after="60" w:before="0"/>
      </w:pPr>
      <w:r>
        <w:rPr>
          <w:rFonts w:ascii="Aptos" w:cs="Aptos" w:eastAsia="Aptos" w:hAnsi="Aptos"/>
        </w:rPr>
        <w:t xml:space="preserve">Reviewer harm; night-shift safety incidents.</w:t>
      </w:r>
    </w:p>
    <w:p>
      <w:pPr>
        <w:pStyle w:val="Heading2"/>
      </w:pPr>
      <w:r>
        <w:rPr>
          <w:rFonts w:ascii="Aptos" w:cs="Aptos" w:eastAsia="Aptos" w:hAnsi="Aptos"/>
        </w:rPr>
        <w:t xml:space="preserve">13.5 Questions for the lawyer</w:t>
      </w:r>
    </w:p>
    <w:p>
      <w:pPr>
        <w:pStyle w:val="ListParagraph"/>
        <w:numPr>
          <w:ilvl w:val="0"/>
          <w:numId w:val="29"/>
        </w:numPr>
        <w:spacing w:after="60" w:before="0"/>
      </w:pPr>
      <w:r>
        <w:rPr>
          <w:rFonts w:ascii="Aptos" w:cs="Aptos" w:eastAsia="Aptos" w:hAnsi="Aptos"/>
        </w:rPr>
        <w:t xml:space="preserve">Does the Labour Act 2006 apply to the company's office staff, and which roles are excluded?</w:t>
      </w:r>
    </w:p>
    <w:p>
      <w:pPr>
        <w:pStyle w:val="ListParagraph"/>
        <w:numPr>
          <w:ilvl w:val="0"/>
          <w:numId w:val="29"/>
        </w:numPr>
        <w:spacing w:after="60" w:before="0"/>
      </w:pPr>
      <w:r>
        <w:rPr>
          <w:rFonts w:ascii="Aptos" w:cs="Aptos" w:eastAsia="Aptos" w:hAnsi="Aptos"/>
        </w:rPr>
        <w:t xml:space="preserve">What rules apply to night shifts, especially for women, and what records are needed?</w:t>
      </w:r>
    </w:p>
    <w:p>
      <w:pPr>
        <w:pStyle w:val="ListParagraph"/>
        <w:numPr>
          <w:ilvl w:val="0"/>
          <w:numId w:val="29"/>
        </w:numPr>
        <w:spacing w:after="60" w:before="0"/>
      </w:pPr>
      <w:r>
        <w:rPr>
          <w:rFonts w:ascii="Aptos" w:cs="Aptos" w:eastAsia="Aptos" w:hAnsi="Aptos"/>
        </w:rPr>
        <w:t xml:space="preserve">What must an appointment letter contain, and what probation is lawful?</w:t>
      </w:r>
    </w:p>
    <w:p>
      <w:pPr>
        <w:pStyle w:val="ListParagraph"/>
        <w:numPr>
          <w:ilvl w:val="0"/>
          <w:numId w:val="29"/>
        </w:numPr>
        <w:spacing w:after="60" w:before="0"/>
      </w:pPr>
      <w:r>
        <w:rPr>
          <w:rFonts w:ascii="Aptos" w:cs="Aptos" w:eastAsia="Aptos" w:hAnsi="Aptos"/>
        </w:rPr>
        <w:t xml:space="preserve">What is the test for treating a contractor as an employee?</w:t>
      </w:r>
    </w:p>
    <w:p>
      <w:pPr>
        <w:pStyle w:val="ListParagraph"/>
        <w:numPr>
          <w:ilvl w:val="0"/>
          <w:numId w:val="29"/>
        </w:numPr>
        <w:spacing w:after="60" w:before="0"/>
      </w:pPr>
      <w:r>
        <w:rPr>
          <w:rFonts w:ascii="Aptos" w:cs="Aptos" w:eastAsia="Aptos" w:hAnsi="Aptos"/>
        </w:rPr>
        <w:t xml:space="preserve">Are performers' rights and moral rights waivable for AI voice and likeness use?</w:t>
      </w:r>
    </w:p>
    <w:p>
      <w:pPr>
        <w:pStyle w:val="ListParagraph"/>
        <w:numPr>
          <w:ilvl w:val="0"/>
          <w:numId w:val="29"/>
        </w:numPr>
        <w:spacing w:after="60" w:before="0"/>
      </w:pPr>
      <w:r>
        <w:rPr>
          <w:rFonts w:ascii="Aptos" w:cs="Aptos" w:eastAsia="Aptos" w:hAnsi="Aptos"/>
        </w:rPr>
        <w:t xml:space="preserve">Do counsellors speaking with guardians about a child's wellbeing need a licence?</w:t>
      </w:r>
    </w:p>
    <w:p>
      <w:pPr>
        <w:pStyle w:val="ListParagraph"/>
        <w:numPr>
          <w:ilvl w:val="0"/>
          <w:numId w:val="29"/>
        </w:numPr>
        <w:spacing w:after="60" w:before="0"/>
      </w:pPr>
      <w:r>
        <w:rPr>
          <w:rFonts w:ascii="Aptos" w:cs="Aptos" w:eastAsia="Aptos" w:hAnsi="Aptos"/>
        </w:rPr>
        <w:t xml:space="preserve">What rules apply to prize competitions such as the creator challenge?</w:t>
      </w:r>
    </w:p>
    <w:p>
      <w:pPr>
        <w:pStyle w:val="Heading2"/>
      </w:pPr>
      <w:r>
        <w:rPr>
          <w:rFonts w:ascii="Aptos" w:cs="Aptos" w:eastAsia="Aptos" w:hAnsi="Aptos"/>
        </w:rPr>
        <w:t xml:space="preserve">13.6 Documents and actions needed</w:t>
      </w:r>
    </w:p>
    <w:p>
      <w:pPr>
        <w:pStyle w:val="ListParagraph"/>
        <w:numPr>
          <w:ilvl w:val="0"/>
          <w:numId w:val="3"/>
        </w:numPr>
        <w:spacing w:after="60" w:before="0"/>
      </w:pPr>
      <w:r>
        <w:rPr>
          <w:rFonts w:ascii="Aptos" w:cs="Aptos" w:eastAsia="Aptos" w:hAnsi="Aptos"/>
        </w:rPr>
        <w:t xml:space="preserve">Appointment letter template, staff handbook, staff privacy notice, night-shift policy.</w:t>
      </w:r>
    </w:p>
    <w:p>
      <w:pPr>
        <w:pStyle w:val="ListParagraph"/>
        <w:numPr>
          <w:ilvl w:val="0"/>
          <w:numId w:val="3"/>
        </w:numPr>
        <w:spacing w:after="60" w:before="0"/>
      </w:pPr>
      <w:r>
        <w:rPr>
          <w:rFonts w:ascii="Aptos" w:cs="Aptos" w:eastAsia="Aptos" w:hAnsi="Aptos"/>
        </w:rPr>
        <w:t xml:space="preserve">Contractor agreement with IP assignment.</w:t>
      </w:r>
    </w:p>
    <w:p>
      <w:pPr>
        <w:pStyle w:val="ListParagraph"/>
        <w:numPr>
          <w:ilvl w:val="0"/>
          <w:numId w:val="3"/>
        </w:numPr>
        <w:spacing w:after="60" w:before="0"/>
      </w:pPr>
      <w:r>
        <w:rPr>
          <w:rFonts w:ascii="Aptos" w:cs="Aptos" w:eastAsia="Aptos" w:hAnsi="Aptos"/>
        </w:rPr>
        <w:t xml:space="preserve">Performer agreement and release; photographer assignment and model release.</w:t>
      </w:r>
    </w:p>
    <w:p>
      <w:pPr>
        <w:pStyle w:val="ListParagraph"/>
        <w:numPr>
          <w:ilvl w:val="0"/>
          <w:numId w:val="3"/>
        </w:numPr>
        <w:spacing w:after="60" w:before="0"/>
      </w:pPr>
      <w:r>
        <w:rPr>
          <w:rFonts w:ascii="Aptos" w:cs="Aptos" w:eastAsia="Aptos" w:hAnsi="Aptos"/>
        </w:rPr>
        <w:t xml:space="preserve">Reviewer agreement; teacher, mentor and counsellor agreement with safeguarding code.</w:t>
      </w:r>
    </w:p>
    <w:p>
      <w:pPr>
        <w:pStyle w:val="ListParagraph"/>
        <w:numPr>
          <w:ilvl w:val="0"/>
          <w:numId w:val="3"/>
        </w:numPr>
        <w:spacing w:after="60" w:before="0"/>
      </w:pPr>
      <w:r>
        <w:rPr>
          <w:rFonts w:ascii="Aptos" w:cs="Aptos" w:eastAsia="Aptos" w:hAnsi="Aptos"/>
        </w:rPr>
        <w:t xml:space="preserve">Reseller, affiliate, marketplace and creator-challenge terms.</w:t>
      </w:r>
    </w:p>
    <w:p>
      <w:pPr>
        <w:pStyle w:val="Heading1"/>
        <w:pageBreakBefore/>
      </w:pPr>
      <w:r>
        <w:rPr>
          <w:rFonts w:ascii="Aptos" w:cs="Aptos" w:eastAsia="Aptos" w:hAnsi="Aptos"/>
        </w:rPr>
        <w:t xml:space="preserve">14. Takedowns, DMCA, Repeat Infringers and Law-Enforcement Requests</w:t>
      </w:r>
    </w:p>
    <w:p>
      <w:pPr>
        <w:spacing w:after="140" w:before="0" w:line="288"/>
      </w:pPr>
      <w:r>
        <w:rPr>
          <w:rFonts w:ascii="Aptos" w:cs="Aptos" w:eastAsia="Aptos" w:hAnsi="Aptos"/>
        </w:rPr>
        <w:t xml:space="preserve">Covers complaints about content (copyright, likeness, defamation, brands, child safety), the US DMCA safe harbour, the repeat-infringer policy, and requests from police, regulators and courts. Applies to Motion Studio, NexaTute user and institution uploads, and NexaLogicDev sites.</w:t>
      </w:r>
    </w:p>
    <w:p>
      <w:pPr>
        <w:pStyle w:val="Heading2"/>
      </w:pPr>
      <w:r>
        <w:rPr>
          <w:rFonts w:ascii="Aptos" w:cs="Aptos" w:eastAsia="Aptos" w:hAnsi="Aptos"/>
        </w:rPr>
        <w:t xml:space="preserve">14.1 Facts</w:t>
      </w:r>
    </w:p>
    <w:p>
      <w:pPr>
        <w:pStyle w:val="ListParagraph"/>
        <w:numPr>
          <w:ilvl w:val="0"/>
          <w:numId w:val="3"/>
        </w:numPr>
        <w:spacing w:after="60" w:before="0"/>
      </w:pPr>
      <w:r>
        <w:rPr>
          <w:rFonts w:ascii="Aptos" w:cs="Aptos" w:eastAsia="Aptos" w:hAnsi="Aptos"/>
        </w:rPr>
        <w:t xml:space="preserve">Report buttons everywhere; verified complaints taken down within 24 hours, child abuse and phishing immediately; an unauthorised clone or face complaint suspends the account during review.</w:t>
      </w:r>
    </w:p>
    <w:p>
      <w:pPr>
        <w:pStyle w:val="ListParagraph"/>
        <w:numPr>
          <w:ilvl w:val="0"/>
          <w:numId w:val="3"/>
        </w:numPr>
        <w:spacing w:after="60" w:before="0"/>
      </w:pPr>
      <w:r>
        <w:rPr>
          <w:rFonts w:ascii="Aptos" w:cs="Aptos" w:eastAsia="Aptos" w:hAnsi="Aptos"/>
        </w:rPr>
        <w:t xml:space="preserve">Ladder: warning, suspension, ban; logged reasons; appeal; a person decides. Repeat infringers are suspended, then closed (record period to confirm).</w:t>
      </w:r>
    </w:p>
    <w:p>
      <w:pPr>
        <w:pStyle w:val="ListParagraph"/>
        <w:numPr>
          <w:ilvl w:val="0"/>
          <w:numId w:val="3"/>
        </w:numPr>
        <w:spacing w:after="60" w:before="0"/>
      </w:pPr>
      <w:r>
        <w:rPr>
          <w:rFonts w:ascii="Aptos" w:cs="Aptos" w:eastAsia="Aptos" w:hAnsi="Aptos"/>
        </w:rPr>
        <w:t xml:space="preserve">DMCA designated agent approved (30 October 2026); which entity registers is open.</w:t>
      </w:r>
    </w:p>
    <w:p>
      <w:pPr>
        <w:pStyle w:val="ListParagraph"/>
        <w:numPr>
          <w:ilvl w:val="0"/>
          <w:numId w:val="3"/>
        </w:numPr>
        <w:spacing w:after="60" w:before="0"/>
      </w:pPr>
      <w:r>
        <w:rPr>
          <w:rFonts w:ascii="Aptos" w:cs="Aptos" w:eastAsia="Aptos" w:hAnsi="Aptos"/>
        </w:rPr>
        <w:t xml:space="preserve">Child safety: PDQ and TMK+PDQF hash matching; hash lists via NCMEC (planned through the USA LLC) or the paid IWF list; account closed; reported "as the law requires".</w:t>
      </w:r>
    </w:p>
    <w:p>
      <w:pPr>
        <w:pStyle w:val="ListParagraph"/>
        <w:numPr>
          <w:ilvl w:val="0"/>
          <w:numId w:val="3"/>
        </w:numPr>
        <w:spacing w:after="60" w:before="0"/>
      </w:pPr>
      <w:r>
        <w:rPr>
          <w:rFonts w:ascii="Aptos" w:cs="Aptos" w:eastAsia="Aptos" w:hAnsi="Aptos"/>
        </w:rPr>
        <w:t xml:space="preserve">NexaTute: takedown policy; liability wording for institution-uploaded papers and approved content (lawyer to finalise).</w:t>
      </w:r>
    </w:p>
    <w:p>
      <w:pPr>
        <w:pStyle w:val="Heading2"/>
      </w:pPr>
      <w:r>
        <w:rPr>
          <w:rFonts w:ascii="Aptos" w:cs="Aptos" w:eastAsia="Aptos" w:hAnsi="Aptos"/>
        </w:rPr>
        <w:t xml:space="preserve">14.2 Applicable law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7"/>
        <w:gridCol w:w="4264"/>
        <w:gridCol w:w="2235"/>
      </w:tblGrid>
      <w:tr>
        <w:trPr>
          <w:cantSplit/>
          <w:tblHeader/>
        </w:trPr>
        <w:tc>
          <w:tcPr>
            <w:tcW w:type="dxa" w:w="28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Law</w:t>
            </w:r>
          </w:p>
        </w:tc>
        <w:tc>
          <w:tcPr>
            <w:tcW w:type="dxa" w:w="426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Key point</w:t>
            </w:r>
          </w:p>
        </w:tc>
        <w:tc>
          <w:tcPr>
            <w:tcW w:type="dxa" w:w="223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Confidence</w:t>
            </w:r>
          </w:p>
        </w:tc>
      </w:tr>
      <w:tr>
        <w:trPr>
          <w:cantSplit/>
        </w:trPr>
        <w:tc>
          <w:tcPr>
            <w:tcW w:type="dxa" w:w="2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 Copyright Act s.512 and 37 C.F.R. 201.38</w:t>
            </w:r>
          </w:p>
        </w:tc>
        <w:tc>
          <w:tcPr>
            <w:tcW w:type="dxa" w:w="42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provider storing user material must register an agent online and publish the same details on its site for the s.512(c) safe harbour; $6 per filing; expires after 3 years unless renewed; the agent may be a person, role or third party; one agent per provider. Foreign providers register in practice; no official statement found</w:t>
            </w:r>
          </w:p>
        </w:tc>
        <w:tc>
          <w:tcPr>
            <w:tcW w:type="dxa" w:w="22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 medium</w:t>
            </w:r>
          </w:p>
        </w:tc>
      </w:tr>
      <w:tr>
        <w:trPr>
          <w:cantSplit/>
        </w:trPr>
        <w:tc>
          <w:tcPr>
            <w:tcW w:type="dxa" w:w="2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DMCA repeat-infringer policy and counter-notice</w:t>
            </w:r>
          </w:p>
        </w:tc>
        <w:tc>
          <w:tcPr>
            <w:tcW w:type="dxa" w:w="42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reasonably implemented repeat-infringer policy is a safe-harbour condition; counter-notices allow restoration after a waiting period unless the complainant sues (general knowledge)</w:t>
            </w:r>
          </w:p>
        </w:tc>
        <w:tc>
          <w:tcPr>
            <w:tcW w:type="dxa" w:w="22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lawyer to confirm]</w:t>
            </w:r>
          </w:p>
        </w:tc>
      </w:tr>
      <w:tr>
        <w:trPr>
          <w:cantSplit/>
        </w:trPr>
        <w:tc>
          <w:tcPr>
            <w:tcW w:type="dxa" w:w="2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Cyber Security Act, 2026 and June 2026 amendment</w:t>
            </w:r>
          </w:p>
        </w:tc>
        <w:tc>
          <w:tcPr>
            <w:tcW w:type="dxa" w:w="42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Reported aims include faster takedown of harmful AI content, platform deadlines, BTRC blocking and data-demand powers; contents not confirmed</w:t>
            </w:r>
          </w:p>
        </w:tc>
        <w:tc>
          <w:tcPr>
            <w:tcW w:type="dxa" w:w="22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 [lawyer to confirm]</w:t>
            </w:r>
          </w:p>
        </w:tc>
      </w:tr>
      <w:tr>
        <w:trPr>
          <w:cantSplit/>
        </w:trPr>
        <w:tc>
          <w:tcPr>
            <w:tcW w:type="dxa" w:w="2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Act, 2023; data law; CSAM reporting duties</w:t>
            </w:r>
          </w:p>
        </w:tc>
        <w:tc>
          <w:tcPr>
            <w:tcW w:type="dxa" w:w="42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Bangladeshi safe harbour reported; disclosure needs a lawful basis; reporting duties not researched</w:t>
            </w:r>
          </w:p>
        </w:tc>
        <w:tc>
          <w:tcPr>
            <w:tcW w:type="dxa" w:w="22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 / [lawyer to confirm]</w:t>
            </w:r>
          </w:p>
        </w:tc>
      </w:tr>
    </w:tbl>
    <w:p>
      <w:pPr>
        <w:spacing w:after="120" w:before="0"/>
      </w:pPr>
    </w:p>
    <w:p>
      <w:pPr>
        <w:pStyle w:val="Heading2"/>
      </w:pPr>
      <w:r>
        <w:rPr>
          <w:rFonts w:ascii="Aptos" w:cs="Aptos" w:eastAsia="Aptos" w:hAnsi="Aptos"/>
        </w:rPr>
        <w:t xml:space="preserve">14.3 Our proposed position</w:t>
      </w:r>
    </w:p>
    <w:p>
      <w:pPr>
        <w:pStyle w:val="ListParagraph"/>
        <w:numPr>
          <w:ilvl w:val="0"/>
          <w:numId w:val="30"/>
        </w:numPr>
        <w:spacing w:after="60" w:before="0"/>
      </w:pPr>
      <w:r>
        <w:rPr>
          <w:rFonts w:ascii="Aptos" w:cs="Aptos" w:eastAsia="Aptos" w:hAnsi="Aptos"/>
        </w:rPr>
        <w:t xml:space="preserve">One complaint form per product (copyright, likeness, defamation, trademark, privacy, child safety, other) in Bangla and English, plus email [to insert]; a valid notice states the complainant, content, right claimed, good faith and accuracy.</w:t>
      </w:r>
    </w:p>
    <w:p>
      <w:pPr>
        <w:pStyle w:val="ListParagraph"/>
        <w:numPr>
          <w:ilvl w:val="0"/>
          <w:numId w:val="30"/>
        </w:numPr>
        <w:spacing w:after="60" w:before="0"/>
      </w:pPr>
      <w:r>
        <w:rPr>
          <w:rFonts w:ascii="Aptos" w:cs="Aptos" w:eastAsia="Aptos" w:hAnsi="Aptos"/>
        </w:rPr>
        <w:t xml:space="preserve">Content disabled within 24 hours of a valid notice (immediately for child safety, phishing and intimate images); the uploader told why and how to respond unless the law or a child-safety report forbids it. Counter-notices restore content after the DMCA waiting period (US copyright) or after review (other complaints), unless legal action is shown. Repeated bad-faith complainants blocked after review.</w:t>
      </w:r>
    </w:p>
    <w:p>
      <w:pPr>
        <w:pStyle w:val="ListParagraph"/>
        <w:numPr>
          <w:ilvl w:val="0"/>
          <w:numId w:val="30"/>
        </w:numPr>
        <w:spacing w:after="60" w:before="0"/>
      </w:pPr>
      <w:r>
        <w:rPr>
          <w:rFonts w:ascii="Aptos" w:cs="Aptos" w:eastAsia="Aptos" w:hAnsi="Aptos"/>
        </w:rPr>
        <w:t xml:space="preserve">DMCA agent registered in RemonLogic Private Limited's name with a role address and a Bangladesh street address or a third-party agent [to insert]; same details on both websites; 3-year renewal in the compliance calendar.</w:t>
      </w:r>
    </w:p>
    <w:p>
      <w:pPr>
        <w:pStyle w:val="ListParagraph"/>
        <w:numPr>
          <w:ilvl w:val="0"/>
          <w:numId w:val="30"/>
        </w:numPr>
        <w:spacing w:after="60" w:before="0"/>
      </w:pPr>
      <w:r>
        <w:rPr>
          <w:rFonts w:ascii="Aptos" w:cs="Aptos" w:eastAsia="Aptos" w:hAnsi="Aptos"/>
        </w:rPr>
        <w:t xml:space="preserve">Repeat infringers (default, editable): 1 valid notice in 12 months = removal and warning; 2 = 7-day suspension of uploads and publishing; 3 = account closed, with unused prepaid amounts handled as the refund policy says [lawyer to confirm whether they may be withheld]. A successful counter-notice removes a strike. Unauthorised cloning, child sexual content or fraud = immediate closure. Takedown records kept 3 years after the last strike (default, editable).</w:t>
      </w:r>
    </w:p>
    <w:p>
      <w:pPr>
        <w:pStyle w:val="ListParagraph"/>
        <w:numPr>
          <w:ilvl w:val="0"/>
          <w:numId w:val="30"/>
        </w:numPr>
        <w:spacing w:after="60" w:before="0"/>
      </w:pPr>
      <w:r>
        <w:rPr>
          <w:rFonts w:ascii="Aptos" w:cs="Aptos" w:eastAsia="Aptos" w:hAnsi="Aptos"/>
        </w:rPr>
        <w:t xml:space="preserve">Child sexual abuse material: automatic block without human viewing; account closed; evidence preserved in a restricted store; report to the authority the lawyer names, and to NCMEC or the IWF where available; ask NCMEC in writing whether a Bangladeshi company can register.</w:t>
      </w:r>
    </w:p>
    <w:p>
      <w:pPr>
        <w:pStyle w:val="ListParagraph"/>
        <w:numPr>
          <w:ilvl w:val="0"/>
          <w:numId w:val="30"/>
        </w:numPr>
        <w:spacing w:after="60" w:before="0"/>
      </w:pPr>
      <w:r>
        <w:rPr>
          <w:rFonts w:ascii="Aptos" w:cs="Aptos" w:eastAsia="Aptos" w:hAnsi="Aptos"/>
        </w:rPr>
        <w:t xml:space="preserve">Law-enforcement requests: one legal-requests address and log; disclosure only on a written request citing a legal power from a verified authority; minimum data; lawyer review for non-emergencies; verified emergencies involving danger to life or a child answered at once, with documents afterwards; users told unless forbidden or unsafe; blocking orders applied in Bangladesh by geo-blocking where content is lawful elsewhere; foreign requests handled through the data holder or mutual legal assistance after review; a yearly counts-only transparency report after launch (default, editable).</w:t>
      </w:r>
    </w:p>
    <w:p>
      <w:pPr>
        <w:pStyle w:val="Heading2"/>
      </w:pPr>
      <w:r>
        <w:rPr>
          <w:rFonts w:ascii="Aptos" w:cs="Aptos" w:eastAsia="Aptos" w:hAnsi="Aptos"/>
        </w:rPr>
        <w:t xml:space="preserve">14.4 Risks if wrong</w:t>
      </w:r>
    </w:p>
    <w:p>
      <w:pPr>
        <w:pStyle w:val="ListParagraph"/>
        <w:numPr>
          <w:ilvl w:val="0"/>
          <w:numId w:val="3"/>
        </w:numPr>
        <w:spacing w:after="60" w:before="0"/>
      </w:pPr>
      <w:r>
        <w:rPr>
          <w:rFonts w:ascii="Aptos" w:cs="Aptos" w:eastAsia="Aptos" w:hAnsi="Aptos"/>
        </w:rPr>
        <w:t xml:space="preserve">Loss of the US safe harbour; penalties or blocking for missed takedown deadlines (if enacted); unlawful or too-slow disclosure of user data; criminal exposure for unreported child sexual abuse material.</w:t>
      </w:r>
    </w:p>
    <w:p>
      <w:pPr>
        <w:pStyle w:val="Heading2"/>
      </w:pPr>
      <w:r>
        <w:rPr>
          <w:rFonts w:ascii="Aptos" w:cs="Aptos" w:eastAsia="Aptos" w:hAnsi="Aptos"/>
        </w:rPr>
        <w:t xml:space="preserve">14.5 Questions for the lawyer</w:t>
      </w:r>
    </w:p>
    <w:p>
      <w:pPr>
        <w:pStyle w:val="ListParagraph"/>
        <w:numPr>
          <w:ilvl w:val="0"/>
          <w:numId w:val="31"/>
        </w:numPr>
        <w:spacing w:after="60" w:before="0"/>
      </w:pPr>
      <w:r>
        <w:rPr>
          <w:rFonts w:ascii="Aptos" w:cs="Aptos" w:eastAsia="Aptos" w:hAnsi="Aptos"/>
        </w:rPr>
        <w:t xml:space="preserve">Does Bangladeshi law give intermediaries any safe harbour for user content?</w:t>
      </w:r>
    </w:p>
    <w:p>
      <w:pPr>
        <w:pStyle w:val="ListParagraph"/>
        <w:numPr>
          <w:ilvl w:val="0"/>
          <w:numId w:val="31"/>
        </w:numPr>
        <w:spacing w:after="60" w:before="0"/>
      </w:pPr>
      <w:r>
        <w:rPr>
          <w:rFonts w:ascii="Aptos" w:cs="Aptos" w:eastAsia="Aptos" w:hAnsi="Aptos"/>
        </w:rPr>
        <w:t xml:space="preserve">Did the June 2026 amendment set takedown deadlines or BTRC blocking and data-demand powers binding the company?</w:t>
      </w:r>
    </w:p>
    <w:p>
      <w:pPr>
        <w:pStyle w:val="ListParagraph"/>
        <w:numPr>
          <w:ilvl w:val="0"/>
          <w:numId w:val="31"/>
        </w:numPr>
        <w:spacing w:after="60" w:before="0"/>
      </w:pPr>
      <w:r>
        <w:rPr>
          <w:rFonts w:ascii="Aptos" w:cs="Aptos" w:eastAsia="Aptos" w:hAnsi="Aptos"/>
        </w:rPr>
        <w:t xml:space="preserve">To whom, how fast and in what form must child sexual abuse material be reported in Bangladesh?</w:t>
      </w:r>
    </w:p>
    <w:p>
      <w:pPr>
        <w:pStyle w:val="ListParagraph"/>
        <w:numPr>
          <w:ilvl w:val="0"/>
          <w:numId w:val="31"/>
        </w:numPr>
        <w:spacing w:after="60" w:before="0"/>
      </w:pPr>
      <w:r>
        <w:rPr>
          <w:rFonts w:ascii="Aptos" w:cs="Aptos" w:eastAsia="Aptos" w:hAnsi="Aptos"/>
        </w:rPr>
        <w:t xml:space="preserve">Which authorities may demand user data, and in what written form?</w:t>
      </w:r>
    </w:p>
    <w:p>
      <w:pPr>
        <w:pStyle w:val="ListParagraph"/>
        <w:numPr>
          <w:ilvl w:val="0"/>
          <w:numId w:val="31"/>
        </w:numPr>
        <w:spacing w:after="60" w:before="0"/>
      </w:pPr>
      <w:r>
        <w:rPr>
          <w:rFonts w:ascii="Aptos" w:cs="Aptos" w:eastAsia="Aptos" w:hAnsi="Aptos"/>
        </w:rPr>
        <w:t xml:space="preserve">(International) Can RemonLogic Private Limited register a DMCA agent and rely on s.512 with a Bangladesh address?</w:t>
      </w:r>
    </w:p>
    <w:p>
      <w:pPr>
        <w:pStyle w:val="ListParagraph"/>
        <w:numPr>
          <w:ilvl w:val="0"/>
          <w:numId w:val="31"/>
        </w:numPr>
        <w:spacing w:after="60" w:before="0"/>
      </w:pPr>
      <w:r>
        <w:rPr>
          <w:rFonts w:ascii="Aptos" w:cs="Aptos" w:eastAsia="Aptos" w:hAnsi="Aptos"/>
        </w:rPr>
        <w:t xml:space="preserve">(International) Can a non-US company register with NCMEC for hash lists and the CyberTipline?</w:t>
      </w:r>
    </w:p>
    <w:p>
      <w:pPr>
        <w:pStyle w:val="ListParagraph"/>
        <w:numPr>
          <w:ilvl w:val="0"/>
          <w:numId w:val="31"/>
        </w:numPr>
        <w:spacing w:after="60" w:before="0"/>
      </w:pPr>
      <w:r>
        <w:rPr>
          <w:rFonts w:ascii="Aptos" w:cs="Aptos" w:eastAsia="Aptos" w:hAnsi="Aptos"/>
        </w:rPr>
        <w:t xml:space="preserve">Is the repeat-infringer ladder reasonable, and how long may takedown records be kept?</w:t>
      </w:r>
    </w:p>
    <w:p>
      <w:pPr>
        <w:pStyle w:val="ListParagraph"/>
        <w:numPr>
          <w:ilvl w:val="0"/>
          <w:numId w:val="31"/>
        </w:numPr>
        <w:spacing w:after="60" w:before="0"/>
      </w:pPr>
      <w:r>
        <w:rPr>
          <w:rFonts w:ascii="Aptos" w:cs="Aptos" w:eastAsia="Aptos" w:hAnsi="Aptos"/>
        </w:rPr>
        <w:t xml:space="preserve">What liability wording is acceptable for institution-uploaded exam papers and approved content in NexaTute?</w:t>
      </w:r>
    </w:p>
    <w:p>
      <w:pPr>
        <w:pStyle w:val="Heading2"/>
      </w:pPr>
      <w:r>
        <w:rPr>
          <w:rFonts w:ascii="Aptos" w:cs="Aptos" w:eastAsia="Aptos" w:hAnsi="Aptos"/>
        </w:rPr>
        <w:t xml:space="preserve">14.6 Documents and actions needed</w:t>
      </w:r>
    </w:p>
    <w:p>
      <w:pPr>
        <w:pStyle w:val="ListParagraph"/>
        <w:numPr>
          <w:ilvl w:val="0"/>
          <w:numId w:val="3"/>
        </w:numPr>
        <w:spacing w:after="60" w:before="0"/>
      </w:pPr>
      <w:r>
        <w:rPr>
          <w:rFonts w:ascii="Aptos" w:cs="Aptos" w:eastAsia="Aptos" w:hAnsi="Aptos"/>
        </w:rPr>
        <w:t xml:space="preserve">Takedown policy with counter-notice and repeat-infringer rules; complaint forms; 24-hour workflow.</w:t>
      </w:r>
    </w:p>
    <w:p>
      <w:pPr>
        <w:pStyle w:val="ListParagraph"/>
        <w:numPr>
          <w:ilvl w:val="0"/>
          <w:numId w:val="3"/>
        </w:numPr>
        <w:spacing w:after="60" w:before="0"/>
      </w:pPr>
      <w:r>
        <w:rPr>
          <w:rFonts w:ascii="Aptos" w:cs="Aptos" w:eastAsia="Aptos" w:hAnsi="Aptos"/>
        </w:rPr>
        <w:t xml:space="preserve">DMCA agent registration; law-enforcement request policy; CSAM procedure; NCMEC and IWF enquiries.</w:t>
      </w:r>
    </w:p>
    <w:p>
      <w:pPr>
        <w:pStyle w:val="Heading1"/>
        <w:pageBreakBefore/>
      </w:pPr>
      <w:r>
        <w:rPr>
          <w:rFonts w:ascii="Aptos" w:cs="Aptos" w:eastAsia="Aptos" w:hAnsi="Aptos"/>
        </w:rPr>
        <w:t xml:space="preserve">15. Legal Go-Live Checklist</w:t>
      </w:r>
    </w:p>
    <w:p>
      <w:pPr>
        <w:spacing w:after="140" w:before="0" w:line="288"/>
      </w:pPr>
      <w:r>
        <w:rPr>
          <w:rFonts w:ascii="Aptos" w:cs="Aptos" w:eastAsia="Aptos" w:hAnsi="Aptos"/>
        </w:rPr>
        <w:t xml:space="preserve">Collects the actions from chapters 1–14 in milestone order. It extends the NexaTute legal go-live checklist (Master Blueprint 36.6) and the Motion Studio lawyer checklist (blueprint 12.18); completed items are marked with their date in the admin panel. Owner = Md Raju Ahmed; Lawyer = the Bangladeshi lawyer; Accountant = the chartered accountant; Intl firm = EU/UK/US counsel; DPO, CTO and product, AI and development leads [names to insert].</w:t>
      </w:r>
    </w:p>
    <w:p>
      <w:pPr>
        <w:pBdr>
          <w:left w:val="single" w:color="17365D" w:sz="24" w:space="8"/>
        </w:pBdr>
        <w:shd w:fill="EEF2F8" w:color="auto" w:val="clear"/>
        <w:spacing w:after="160" w:before="120" w:line="276"/>
        <w:ind w:left="200" w:right="120"/>
      </w:pPr>
      <w:r>
        <w:rPr>
          <w:rFonts w:ascii="Aptos" w:cs="Aptos" w:eastAsia="Aptos" w:hAnsi="Aptos"/>
        </w:rPr>
        <w:t xml:space="preserve">A milestone is reached only when every item for it is complete, or the lawyer has recorded in writing why it may wait.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9"/>
        <w:gridCol w:w="4348"/>
        <w:gridCol w:w="2314"/>
        <w:gridCol w:w="1945"/>
      </w:tblGrid>
      <w:tr>
        <w:trPr>
          <w:cantSplit/>
          <w:tblHeader/>
        </w:trPr>
        <w:tc>
          <w:tcPr>
            <w:tcW w:type="dxa" w:w="69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434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23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Owner</w:t>
            </w:r>
          </w:p>
        </w:tc>
        <w:tc>
          <w:tcPr>
            <w:tcW w:type="dxa" w:w="194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Before which milestone</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Objects clause reviewed and approved (ch. 1)</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owner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RJSC filing (1 Nov 2026)</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Shareholders, directors, capital and address confirmed [to insert] (ch. 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RJSC filing</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 recorded: no USA LLC now; Paddle asked first (ch. 1, 5)</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RJSC filing</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the websites may say before incorporation; who the contracting party is (ch. 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Privacy Policies (Bangla and English) naming countries and providers (ch. 6)</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DPO</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Terms of service, AI transparency notice, Content Policy (ch. 9–11)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Responsible-disclosure page for both sites (ch. 14)</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CTO</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Claims file; no compliance or certification claims (ch. 3)</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lead</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Trademark search; domains moved to the company (ch. 10)</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owner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developer applications in the company's name (ch. 11)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&amp; approvals</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Company incorporated before personal data is collected, or lawyer's written position on the gap (ch. 1, 6)</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lawyer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Lawyer's choice among wallet Options A–D; wallet off for Bangladesh until then (ch. 2)</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terms for both products (ch. 3)</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 consent form; consent screens with one switch per purpose (ch. 6, 8)</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product lead</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Under-18 profiling, engagement intelligence and offers locked off; face verification off for minors (ch. 6, 8)</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lead</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 under-13 block in the age check if foreign sign-ups are open (ch. 7)</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Development lead</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DPO appointed; record of processing; data-rights procedure; breach plan (ch. 6)</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DPO</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18</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DPAs with every processor (ch. 6)</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DPIAs: children, engagement intelligence, voice and likeness, recordings (ch. 6, 9)</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DPO</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Safeguarding policy, staff code, CSAM procedure and reporting channel (ch. 8, 14)</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DPO</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18+ rule in terms and sign-up (ch. 8)</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product lead</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Own-voice and own-face consent terms; third-party, deceased and public-figure cloning off (ch. 9)</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product lead</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23</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 certificate; C2PA and watermarks on every export; deployer notice (ch. 9)</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CTO</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Licence register complete; FLUX.1-dev not used; unverified items off (ch. 10)</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lead, 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Takedown policy, complaint forms, 24-hour workflow, DMCA agent registered (ch. 14)</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owner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26</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NCMEC and IWF enquiries answered; hash-list source chosen (ch. 14)</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27</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review guideline, reviewer contracts, religious-content clauses (ch. 12)</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Reviewers, lawyer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28</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Platform-rules help page and client clause (ch. 11)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lead, 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Performer, photographer, contractor and reviewer agreements signed before work starts (ch. 10, 13)</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Pilot test payments only in sandbox or fully refunded (ch. 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31</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Trade licence, TIN, BIN, bank and ERQ accounts (ch. 1, 4, 5)</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accountant</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32</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RemonLogic's own aamarPay account; no sales through Vitlous Technology's account without written approvals (ch. 1)</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33</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flow rebuilt to the chosen wallet option; aamarPay partial and original-method refunds confirmed (ch. 2)</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Development lead</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34</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 and subscription terms in Bangla and English (ch. 3)</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35</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Seller-identity block on both sites; DBID if required; complaint procedure and compliance officer (ch. 3)</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lawyer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36</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VAT rate memo; Mushak invoices and credit notes; monthly return (ch. 4)</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Accountant</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37</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Supplier register for withholding and reverse charge; Circular 40 undertaking (ch. 4, 5)</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Accountant</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38</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ITES exemption and any startup relief applications (ch. 4)</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Accountant</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39</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 and UK billing addresses blocked for aamarPay cards until Paddle (ch. 4)</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40</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Localisation plan for children's data; external penetration test passed (ch. 6)</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CTO</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41</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Appointment letters, staff handbook, night-shift policy (ch. 13)</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42</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Lawyer's final signed review of all legal pages (all chapters)</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43</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 approval in the company's name with written acceptance of AI voice and avatar features; payouts to the company account (ch. 1, 5)</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44</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 and UK representatives; GDPR DPO decision (ch. 7)</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Intl firm, owner</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45</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GDPR-ready Privacy Policies, transfer clauses, enterprise DPA (ch. 7)</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Intl firm</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46</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COPPA programme or confirmed US under-13 block; California notice and tracker (ch. 7)</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Intl firm, DPO</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47</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 AI Act Article 50 and US digital-replica review (ch. 9)</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Intl firm</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 EU and UK trademark filings (ch. 10)</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Intl firm</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49</w:t>
            </w:r>
          </w:p>
        </w:tc>
        <w:tc>
          <w:tcPr>
            <w:tcW w:type="dxa" w:w="43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USA LLC only after the FX opinion and any required approval (ch. 1, 5)</w:t>
            </w:r>
          </w:p>
        </w:tc>
        <w:tc>
          <w:tcPr>
            <w:tcW w:type="dxa" w:w="23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accountant</w:t>
            </w:r>
          </w:p>
        </w:tc>
        <w:tc>
          <w:tcPr>
            <w:tcW w:type="dxa" w:w="19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EU-US marketing</w:t>
            </w:r>
          </w:p>
        </w:tc>
      </w:tr>
      <w:tr>
        <w:trPr>
          <w:cantSplit/>
        </w:trPr>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w:t>
            </w:r>
          </w:p>
        </w:tc>
        <w:tc>
          <w:tcPr>
            <w:tcW w:type="dxa" w:w="43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Ongoing: DMCA renewal every 3 years; quarterly platform-policy and law-change review (data-law regulations, cyber-law amendments, PI and e-money rules, VAT, ITES exemption after 30 June 2027); licence check at each release; country check before each new market</w:t>
            </w:r>
          </w:p>
        </w:tc>
        <w:tc>
          <w:tcPr>
            <w:tcW w:type="dxa" w:w="23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lawyer, accountant, AI lead</w:t>
            </w:r>
          </w:p>
        </w:tc>
        <w:tc>
          <w:tcPr>
            <w:tcW w:type="dxa" w:w="19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Ongoing</w:t>
            </w:r>
          </w:p>
        </w:tc>
      </w:tr>
    </w:tbl>
    <w:p>
      <w:pPr>
        <w:spacing w:after="120" w:before="0"/>
      </w:pPr>
    </w:p>
    <w:sectPr>
      <w:headerReference w:type="default" r:id="rId6"/>
      <w:footerReference w:type="default" r:id="rId7"/>
      <w:pgSz w:w="11906" w:h="16838" w:orient="portrait"/>
      <w:pgMar w:top="1300" w:right="1300" w:bottom="1200" w:left="130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C9D3E3" w:sz="4" w:space="4"/>
      </w:pBdr>
      <w:jc w:val="center"/>
    </w:pPr>
    <w:r>
      <w:rPr>
        <w:rFonts w:ascii="Aptos" w:cs="Aptos" w:eastAsia="Aptos" w:hAnsi="Aptos"/>
        <w:color w:val="44546A"/>
        <w:sz w:val="15"/>
        <w:szCs w:val="15"/>
      </w:rPr>
      <w:t xml:space="preserve">Privileged &amp; confidential draft — not legal advice  •  Edition Draft 1  •  Page </w:t>
    </w:r>
    <w:r>
      <w:rPr>
        <w:rFonts w:ascii="Aptos" w:cs="Aptos" w:eastAsia="Aptos" w:hAnsi="Aptos"/>
        <w:color w:val="44546A"/>
        <w:sz w:val="15"/>
        <w:szCs w:val="15"/>
      </w:rPr>
      <w:fldChar w:fldCharType="begin"/>
      <w:instrText xml:space="preserve">PAGE</w:instrText>
      <w:fldChar w:fldCharType="separate"/>
      <w:fldChar w:fldCharType="end"/>
    </w:r>
    <w:r>
      <w:rPr>
        <w:rFonts w:ascii="Aptos" w:cs="Aptos" w:eastAsia="Aptos" w:hAnsi="Aptos"/>
        <w:color w:val="44546A"/>
        <w:sz w:val="15"/>
        <w:szCs w:val="15"/>
      </w:rPr>
      <w:t xml:space="preserve"> of </w:t>
    </w:r>
    <w:r>
      <w:rPr>
        <w:rFonts w:ascii="Aptos" w:cs="Aptos" w:eastAsia="Aptos" w:hAnsi="Aptos"/>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pPr>
    <w:r>
      <w:rPr>
        <w:rFonts w:ascii="Aptos" w:cs="Aptos" w:eastAsia="Aptos" w:hAnsi="Aptos"/>
        <w:b/>
        <w:bCs/>
        <w:color w:val="17365D"/>
        <w:spacing w:val="30"/>
        <w:sz w:val="15"/>
        <w:szCs w:val="15"/>
      </w:rPr>
      <w:t xml:space="preserve">REMONLOGIC  /  </w:t>
    </w:r>
    <w:r>
      <w:rPr>
        <w:rFonts w:ascii="Aptos" w:cs="Aptos" w:eastAsia="Aptos" w:hAnsi="Aptos"/>
        <w:color w:val="44546A"/>
        <w:spacing w:val="30"/>
        <w:sz w:val="15"/>
        <w:szCs w:val="15"/>
      </w:rPr>
      <w:t xml:space="preserve">LEGAL MEMO — DRAFT FOR LAWYER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8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Aptos" w:cs="Aptos" w:eastAsia="Aptos" w:hAnsi="Aptos"/>
      <w:color w:val="44546A"/>
      <w:sz w:val="15"/>
      <w:szCs w:val="15"/>
    </w:rPr>
  </w:style>
  <w:style w:type="paragraph" w:styleId="Heading1">
    <w:name w:val="Heading 1"/>
    <w:basedOn w:val="Normal"/>
    <w:next w:val="Normal"/>
    <w:qFormat/>
    <w:pPr>
      <w:pBdr>
        <w:bottom w:val="single" w:color="17365D" w:sz="8" w:space="6"/>
      </w:pBdr>
      <w:spacing w:after="240" w:before="0"/>
      <w:outlineLvl w:val="0"/>
    </w:pPr>
    <w:rPr>
      <w:rFonts w:ascii="Aptos" w:cs="Aptos" w:eastAsia="Aptos" w:hAnsi="Aptos"/>
      <w:b/>
      <w:bCs/>
      <w:color w:val="17365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17365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44546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Memo for Lawyer Review</dc:title>
  <dc:creator>RemonLogic Private Limited</dc:creator>
  <dc:description>Company, NexaTute and Remon Motion Studio — facts, applicable law, proposed positions, risks and questions</dc:description>
  <cp:lastModifiedBy>Un-named</cp:lastModifiedBy>
  <cp:revision>1</cp:revision>
  <dcterms:created xsi:type="dcterms:W3CDTF">2026-10-30T05:44:39.134Z</dcterms:created>
  <dcterms:modified xsi:type="dcterms:W3CDTF">2026-10-30T05:44:39.135Z</dcterms:modified>
</cp:coreProperties>
</file>

<file path=docProps/custom.xml><?xml version="1.0" encoding="utf-8"?>
<Properties xmlns="http://schemas.openxmlformats.org/officeDocument/2006/custom-properties" xmlns:vt="http://schemas.openxmlformats.org/officeDocument/2006/docPropsVTypes"/>
</file>