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Sudair: information needed for the 3-month campaign</w:t>
      </w:r>
    </w:p>
    <w:p>
      <w:r>
        <w:t>Please confirm current, publicly usable facts and identify the matching source photos. A short fact sheet is enough; the questions below focus on gaps in the material supplied.</w:t>
      </w:r>
    </w:p>
    <w:p>
      <w:pPr>
        <w:pStyle w:val="Heading1"/>
      </w:pPr>
      <w:r>
        <w:t>What the website already says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>
              <w:t>Topic</w:t>
            </w:r>
          </w:p>
        </w:tc>
        <w:tc>
          <w:tcPr>
            <w:tcW w:type="dxa" w:w="3485"/>
          </w:tcPr>
          <w:p>
            <w:r>
              <w:t>Published figure / status</w:t>
            </w:r>
          </w:p>
        </w:tc>
        <w:tc>
          <w:tcPr>
            <w:tcW w:type="dxa" w:w="3485"/>
          </w:tcPr>
          <w:p>
            <w:r>
              <w:t>Source</w:t>
            </w:r>
          </w:p>
        </w:tc>
      </w:tr>
      <w:tr>
        <w:tc>
          <w:tcPr>
            <w:tcW w:type="dxa" w:w="3485"/>
          </w:tcPr>
          <w:p>
            <w:r>
              <w:t>Site footprint</w:t>
            </w:r>
          </w:p>
        </w:tc>
        <w:tc>
          <w:tcPr>
            <w:tcW w:type="dxa" w:w="3485"/>
          </w:tcPr>
          <w:p>
            <w:r>
              <w:t>72,000 m² site; 12,000 m² built area</w:t>
            </w:r>
          </w:p>
        </w:tc>
        <w:tc>
          <w:tcPr>
            <w:tcW w:type="dxa" w:w="3485"/>
          </w:tcPr>
          <w:p>
            <w:r>
              <w:t>Operations page</w:t>
            </w:r>
          </w:p>
        </w:tc>
      </w:tr>
      <w:tr>
        <w:tc>
          <w:tcPr>
            <w:tcW w:type="dxa" w:w="3485"/>
          </w:tcPr>
          <w:p>
            <w:r>
              <w:t>Oncology areas</w:t>
            </w:r>
          </w:p>
        </w:tc>
        <w:tc>
          <w:tcPr>
            <w:tcW w:type="dxa" w:w="3485"/>
          </w:tcPr>
          <w:p>
            <w:r>
              <w:t>2,826.9 m² production; 1,848.6 m² storage; 70.3 m² refrigerated storage (2–8°C)</w:t>
            </w:r>
          </w:p>
        </w:tc>
        <w:tc>
          <w:tcPr>
            <w:tcW w:type="dxa" w:w="3485"/>
          </w:tcPr>
          <w:p>
            <w:r>
              <w:t>Projects page</w:t>
            </w:r>
          </w:p>
        </w:tc>
      </w:tr>
      <w:tr>
        <w:tc>
          <w:tcPr>
            <w:tcW w:type="dxa" w:w="3485"/>
          </w:tcPr>
          <w:p>
            <w:r>
              <w:t>Oncology line capacity</w:t>
            </w:r>
          </w:p>
        </w:tc>
        <w:tc>
          <w:tcPr>
            <w:tcW w:type="dxa" w:w="3485"/>
          </w:tcPr>
          <w:p>
            <w:r>
              <w:t>300M tablets; 150M capsules; 9M sterile liquid units; 6M lyophilised vials, stated for one shift/day</w:t>
            </w:r>
          </w:p>
        </w:tc>
        <w:tc>
          <w:tcPr>
            <w:tcW w:type="dxa" w:w="3485"/>
          </w:tcPr>
          <w:p>
            <w:r>
              <w:t>Projects page</w:t>
            </w:r>
          </w:p>
        </w:tc>
      </w:tr>
      <w:tr>
        <w:tc>
          <w:tcPr>
            <w:tcW w:type="dxa" w:w="3485"/>
          </w:tcPr>
          <w:p>
            <w:r>
              <w:t>Projects</w:t>
            </w:r>
          </w:p>
        </w:tc>
        <w:tc>
          <w:tcPr>
            <w:tcW w:type="dxa" w:w="3485"/>
          </w:tcPr>
          <w:p>
            <w:r>
              <w:t>Insulin, biologics and respiratory facilities described in the roadmap</w:t>
            </w:r>
          </w:p>
        </w:tc>
        <w:tc>
          <w:tcPr>
            <w:tcW w:type="dxa" w:w="3485"/>
          </w:tcPr>
          <w:p>
            <w:r>
              <w:t>Projects page</w:t>
            </w:r>
          </w:p>
        </w:tc>
      </w:tr>
    </w:tbl>
    <w:p>
      <w:r>
        <w:t>These figures describe different scopes. Capacity is stated for one shift, not actual output; planned projects must not be described as operating without confirmation.</w:t>
      </w:r>
    </w:p>
    <w:p>
      <w:r>
        <w:t>Sources: sudairpharma.com/operations/ and sudairpharma.com/projects/</w:t>
      </w:r>
    </w:p>
    <w:p>
      <w:pPr>
        <w:pStyle w:val="Heading1"/>
      </w:pPr>
      <w:r>
        <w:t>Please send six short answers</w:t>
      </w:r>
    </w:p>
    <w:p>
      <w:pPr>
        <w:pStyle w:val="Heading2"/>
      </w:pPr>
      <w:r>
        <w:t>1. Current site and departments</w:t>
      </w:r>
    </w:p>
    <w:p>
      <w:r>
        <w:t>A dated map showing each operating, commissioning and planned building; current area for production, QC, QA, warehousing, utilities and offices. Reconcile the 72,000 m² website figure with any other figure used in presentations.</w:t>
      </w:r>
    </w:p>
    <w:p>
      <w:pPr>
        <w:pStyle w:val="Heading2"/>
      </w:pPr>
      <w:r>
        <w:t>2. Lines and capacity</w:t>
      </w:r>
    </w:p>
    <w:p>
      <w:r>
        <w:t>A one-page line table: dosage form, line/equipment name, installed and qualified status, rated capacity with time/shift denominator, latest actual output period, utilisation, and whether each number may be public.</w:t>
      </w:r>
    </w:p>
    <w:p>
      <w:pPr>
        <w:pStyle w:val="Heading2"/>
      </w:pPr>
      <w:r>
        <w:t>3. Quality and technology</w:t>
      </w:r>
    </w:p>
    <w:p>
      <w:r>
        <w:t>What QC, QA and validation teams do; approved photos of their actual spaces; the exact automation, containment, isolator, monitoring or digital systems in use, with vendor/name and public-use permission. Separate operating technology from planned technology.</w:t>
      </w:r>
    </w:p>
    <w:p>
      <w:pPr>
        <w:pStyle w:val="Heading2"/>
      </w:pPr>
      <w:r>
        <w:t>4. People and partners</w:t>
      </w:r>
    </w:p>
    <w:p>
      <w:r>
        <w:t>Names and roles of department heads, years of relevant experience, prior affiliations or qualifications that may be published, approved short quotes, portrait consent and partner-name/logo permission.</w:t>
      </w:r>
    </w:p>
    <w:p>
      <w:pPr>
        <w:pStyle w:val="Heading2"/>
      </w:pPr>
      <w:r>
        <w:t>5. Image identification and rights</w:t>
      </w:r>
    </w:p>
    <w:p>
      <w:r>
        <w:t>For each selected photo or footage file: facility, department, date, people depicted, photographer/owner, written release, and any restricted equipment, label, screen or third-party mark. Identify which first-wave images are illustrative and must not be presented as documentary Sudair photographs.</w:t>
      </w:r>
    </w:p>
    <w:p>
      <w:pPr>
        <w:pStyle w:val="Heading2"/>
      </w:pPr>
      <w:r>
        <w:t>6. Sign-off and brand</w:t>
      </w:r>
    </w:p>
    <w:p>
      <w:r>
        <w:t>Current master logo and brand guide, the approver for corporate facts and medical wording, and which facility/capacity/leadership facts are cleared for public social use.</w:t>
      </w:r>
    </w:p>
    <w:p>
      <w:r>
        <w:t>First return: facility map, capacity sheet, QC/QA and technology notes, public leadership bios, and a rights register. Mark each item approved for public use, internal only, or not confirmed.</w:t>
      </w:r>
    </w:p>
    <w:sectPr w:rsidR="00FC693F" w:rsidRPr="0006063C" w:rsidSect="00034616">
      <w:pgSz w:w="12240" w:h="15840"/>
      <w:pgMar w:top="605" w:right="893" w:bottom="60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3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6344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