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93F30"/>
        </w:rPr>
        <w:t>Sudair City — Information and Asset Request List</w:t>
      </w:r>
    </w:p>
    <w:p>
      <w:r>
        <w:rPr>
          <w:sz w:val="22"/>
        </w:rPr>
        <w:t>Purpose: close the gaps in the social content bank so that future posts can show verified capability — the kind of detail that builds investor and public trust — without holding for facts. Every item below is either (a) missing data we currently cannot state anywhere, or (b) missing assets we currently have to generate instead of showing the real thing.</w:t>
      </w:r>
    </w:p>
    <w:p>
      <w:pPr>
        <w:pStyle w:val="Heading1"/>
      </w:pPr>
      <w:r>
        <w:rPr>
          <w:color w:val="093F30"/>
        </w:rPr>
        <w:t>A. Facility footprint and spaces</w:t>
      </w:r>
    </w:p>
    <w:p>
      <w:pPr>
        <w:pStyle w:val="ListBullet"/>
      </w:pPr>
      <w:r>
        <w:t>Total site area of Sudair City and built-up area (phased: Phase 1 vs any later phase), in m².</w:t>
      </w:r>
    </w:p>
    <w:p>
      <w:pPr>
        <w:pStyle w:val="ListBullet"/>
      </w:pPr>
      <w:r>
        <w:t>Gross floor area per building: production building(s), QC/R&amp;D building, warehouse(s), utilities building, administration.</w:t>
      </w:r>
    </w:p>
    <w:p>
      <w:pPr>
        <w:pStyle w:val="ListBullet"/>
      </w:pPr>
      <w:r>
        <w:t>Cleanroom classification and area per zone (ISO 5 / ISO 7 / ISO 8 or GMP Grade A–D), and total cleanroom m².</w:t>
      </w:r>
    </w:p>
    <w:p>
      <w:pPr>
        <w:pStyle w:val="ListBullet"/>
      </w:pPr>
      <w:r>
        <w:t>Warehouse types and capacities: ambient, cold room (2–8 °C), freezer (−20 °C), high-potency / contained quarantine areas — each with pallet positions or m².</w:t>
      </w:r>
    </w:p>
    <w:p>
      <w:pPr>
        <w:pStyle w:val="ListBullet"/>
      </w:pPr>
      <w:r>
        <w:t>Outdoor utilities footprint: power substation capacity (MVA), HVAC/chiller capacity, WFI / clean steam generation capacity, backup generator capacity, solar plant (if any) MWp.</w:t>
      </w:r>
    </w:p>
    <w:p>
      <w:pPr>
        <w:pStyle w:val="Heading1"/>
      </w:pPr>
      <w:r>
        <w:rPr>
          <w:color w:val="093F30"/>
        </w:rPr>
        <w:t>B. Production lines and capacity</w:t>
      </w:r>
    </w:p>
    <w:p>
      <w:pPr>
        <w:pStyle w:val="ListBullet"/>
      </w:pPr>
      <w:r>
        <w:t>Line inventory: dosage form (solid oral, sterile injectable, ointment/cream, liquid, etc.), line name/number, installed year, technology partner, maximum speed (units/hour).</w:t>
      </w:r>
    </w:p>
    <w:p>
      <w:pPr>
        <w:pStyle w:val="ListBullet"/>
      </w:pPr>
      <w:r>
        <w:t>Installed capacity vs. actual current output per line (units/year or doses/year), and current utilisation %.</w:t>
      </w:r>
    </w:p>
    <w:p>
      <w:pPr>
        <w:pStyle w:val="ListBullet"/>
      </w:pPr>
      <w:r>
        <w:t>High-potency / oncology containment lines: isolator or closed-transfer technology used, occupational exposure band (OEB) level, and what makes them unique in the Kingdom.</w:t>
      </w:r>
    </w:p>
    <w:p>
      <w:pPr>
        <w:pStyle w:val="ListBullet"/>
      </w:pPr>
      <w:r>
        <w:t>Insulin line: form (cartridge, pen, vial), technology partner, annual capacity — the molecule that anchors the «made here» story.</w:t>
      </w:r>
    </w:p>
    <w:p>
      <w:pPr>
        <w:pStyle w:val="ListBullet"/>
      </w:pPr>
      <w:r>
        <w:t>Serialisation/track-and-trace capability (aggregation, GS1, SFDA LGS integration status).</w:t>
      </w:r>
    </w:p>
    <w:p>
      <w:pPr>
        <w:pStyle w:val="ListBullet"/>
      </w:pPr>
      <w:r>
        <w:t>Batch sizes per line (min/max), number of batches per month if disclosable.</w:t>
      </w:r>
    </w:p>
    <w:p>
      <w:pPr>
        <w:pStyle w:val="Heading1"/>
      </w:pPr>
      <w:r>
        <w:rPr>
          <w:color w:val="093F30"/>
        </w:rPr>
        <w:t>C. Quality control laboratory</w:t>
      </w:r>
    </w:p>
    <w:p>
      <w:pPr>
        <w:pStyle w:val="ListBullet"/>
      </w:pPr>
      <w:r>
        <w:t>QC lab area, number of analysts, and operating hours (24/7 or day shift).</w:t>
      </w:r>
    </w:p>
    <w:p>
      <w:pPr>
        <w:pStyle w:val="ListBullet"/>
      </w:pPr>
      <w:r>
        <w:t>Instrument list at model level: HPLC/UPLC (count and vendor), GC, dissolution, ICP-MS, mass spectrometer, stability chambers (count, capacity, ICH conditions).</w:t>
      </w:r>
    </w:p>
    <w:p>
      <w:pPr>
        <w:pStyle w:val="ListBullet"/>
      </w:pPr>
      <w:r>
        <w:t>Stability program scale: number of registered stability protocols running, chambers dedicated to long-term/photostability.</w:t>
      </w:r>
    </w:p>
    <w:p>
      <w:pPr>
        <w:pStyle w:val="ListBullet"/>
      </w:pPr>
      <w:r>
        <w:t>Microbiology capability: isolator-based microbiology? media fills count? environmental monitoring programme scope (viable + non-viable, particle counts per zone).</w:t>
      </w:r>
    </w:p>
    <w:p>
      <w:pPr>
        <w:pStyle w:val="ListBullet"/>
      </w:pPr>
      <w:r>
        <w:t>Method-development vs. method-verification scope — what QC does in-house vs. sends out.</w:t>
      </w:r>
    </w:p>
    <w:p>
      <w:pPr>
        <w:pStyle w:val="ListBullet"/>
      </w:pPr>
      <w:r>
        <w:t>Turnaround time commitment: sample-to-result for release testing (days).</w:t>
      </w:r>
    </w:p>
    <w:p>
      <w:pPr>
        <w:pStyle w:val="Heading1"/>
      </w:pPr>
      <w:r>
        <w:rPr>
          <w:color w:val="093F30"/>
        </w:rPr>
        <w:t>D. Quality assurance systems and certifications</w:t>
      </w:r>
    </w:p>
    <w:p>
      <w:pPr>
        <w:pStyle w:val="ListBullet"/>
      </w:pPr>
      <w:r>
        <w:t>Current GMP certificates held: SFDA GMP, EU GMP (which authority), WHO-PQ, any PIC/S reference — with expiry dates.</w:t>
      </w:r>
    </w:p>
    <w:p>
      <w:pPr>
        <w:pStyle w:val="ListBullet"/>
      </w:pPr>
      <w:r>
        <w:t>Number of regulatory inspections passed to date and key markets exported to (GCC, MENA, Africa…).</w:t>
      </w:r>
    </w:p>
    <w:p>
      <w:pPr>
        <w:pStyle w:val="ListBullet"/>
      </w:pPr>
      <w:r>
        <w:t>QA systems in use: environmental monitoring system, LIMS, MES (manufacturing execution system), paperless batch records? Deviation/CAPA management tool.</w:t>
      </w:r>
    </w:p>
    <w:p>
      <w:pPr>
        <w:pStyle w:val="ListBullet"/>
      </w:pPr>
      <w:r>
        <w:t>Any digital innovation in QA: AI-assisted visual inspection, at-line PAT (process analytical technology), continuous process verification pilots.</w:t>
      </w:r>
    </w:p>
    <w:p>
      <w:pPr>
        <w:pStyle w:val="ListBullet"/>
      </w:pPr>
      <w:r>
        <w:t>Certifications beyond GMP: ISO 9001, ISO 14001, ISO 45001, ISO 17025 for the lab, energy management (ISO 50001).</w:t>
      </w:r>
    </w:p>
    <w:p>
      <w:pPr>
        <w:pStyle w:val="Heading1"/>
      </w:pPr>
      <w:r>
        <w:rPr>
          <w:color w:val="093F30"/>
        </w:rPr>
        <w:t>E. Innovative and new technology in the facility</w:t>
      </w:r>
    </w:p>
    <w:p>
      <w:pPr>
        <w:pStyle w:val="ListBullet"/>
      </w:pPr>
      <w:r>
        <w:t>Any technology first-of-kind in the Kingdom or GCC (e.g. first domestic insulin line, first oncology containment site) — we need the exact claimable wording.</w:t>
      </w:r>
    </w:p>
    <w:p>
      <w:pPr>
        <w:pStyle w:val="ListBullet"/>
      </w:pPr>
      <w:r>
        <w:t>Automation level: line automation grade (manual / semi / fully automated), robotic palletising, automated warehouse (AS/RS)?</w:t>
      </w:r>
    </w:p>
    <w:p>
      <w:pPr>
        <w:pStyle w:val="ListBullet"/>
      </w:pPr>
      <w:r>
        <w:t>Green building / sustainability features: LEED or Mostadam rating, water recycling %, waste treatment plant capacity, carbon-reduction targets.</w:t>
      </w:r>
    </w:p>
    <w:p>
      <w:pPr>
        <w:pStyle w:val="ListBullet"/>
      </w:pPr>
      <w:r>
        <w:t>R&amp;D pipeline: biosimilars in development (molecule + phase), formulation development capability, analytical R&amp;D scope.</w:t>
      </w:r>
    </w:p>
    <w:p>
      <w:pPr>
        <w:pStyle w:val="ListBullet"/>
      </w:pPr>
      <w:r>
        <w:t>Technology-transfer alliances (Sanofi, GeroPharm, Dr. Reddy's, Accord): what was transferred — equipment, know-how, licence — and what may be shown publicly.</w:t>
      </w:r>
    </w:p>
    <w:p>
      <w:pPr>
        <w:pStyle w:val="Heading1"/>
      </w:pPr>
      <w:r>
        <w:rPr>
          <w:color w:val="093F30"/>
        </w:rPr>
        <w:t>F. Leadership and department heads (for «meet the functions» content)</w:t>
      </w:r>
    </w:p>
    <w:p>
      <w:pPr>
        <w:pStyle w:val="ListBullet"/>
      </w:pPr>
      <w:r>
        <w:t>Name, title, department, tenure at Sudair, previous employer/role, and any public affiliation (universities, societies) for: Plant Head, Head of QA, Head of QC, Head of Production, Head of Engineering, Head of Supply Chain, Head of R&amp;D, Head of HR.</w:t>
      </w:r>
    </w:p>
    <w:p>
      <w:pPr>
        <w:pStyle w:val="ListBullet"/>
      </w:pPr>
      <w:r>
        <w:t>Which of them may be photographed, quoted or interviewed on camera (consent status per person).</w:t>
      </w:r>
    </w:p>
    <w:p>
      <w:pPr>
        <w:pStyle w:val="ListBullet"/>
      </w:pPr>
      <w:r>
        <w:t>Any executive willing to be the recurring LinkedIn voice (newsletter by-line, quarterly video message).</w:t>
      </w:r>
    </w:p>
    <w:p>
      <w:pPr>
        <w:pStyle w:val="Heading1"/>
      </w:pPr>
      <w:r>
        <w:rPr>
          <w:color w:val="093F30"/>
        </w:rPr>
        <w:t>G. Photo and video assets still missing</w:t>
      </w:r>
    </w:p>
    <w:p>
      <w:pPr>
        <w:pStyle w:val="ListBullet"/>
      </w:pPr>
      <w:r>
        <w:t>Extracted (unzipped) footage: ~50 GB remains zipped in «Sudair Assets» — extract to allow frame-picking for all 96 planned pieces.</w:t>
      </w:r>
    </w:p>
    <w:p>
      <w:pPr>
        <w:pStyle w:val="ListBullet"/>
      </w:pPr>
      <w:r>
        <w:t>Golden-hour / dawn exterior drone pass of the finished facade (current drone files predate landscaping completion).</w:t>
      </w:r>
    </w:p>
    <w:p>
      <w:pPr>
        <w:pStyle w:val="ListBullet"/>
      </w:pPr>
      <w:r>
        <w:t>Cleanroom action shots: filling line running, operator through glove ports (sharp, well-lit — the current JAN-F04/S04 frames are blurred).</w:t>
      </w:r>
    </w:p>
    <w:p>
      <w:pPr>
        <w:pStyle w:val="ListBullet"/>
      </w:pPr>
      <w:r>
        <w:t>QC lab action shots: analyst at HPLC, sample prep, stability chamber check — the current QC post reuses the lab-team frame.</w:t>
      </w:r>
    </w:p>
    <w:p>
      <w:pPr>
        <w:pStyle w:val="ListBullet"/>
      </w:pPr>
      <w:r>
        <w:t>Packaging hall full-team photo (the jaradi group clip is partial).</w:t>
      </w:r>
    </w:p>
    <w:p>
      <w:pPr>
        <w:pStyle w:val="ListBullet"/>
      </w:pPr>
      <w:r>
        <w:t>Night-shift set: exterior at night, corridor shift-change, control-room at night.</w:t>
      </w:r>
    </w:p>
    <w:p>
      <w:pPr>
        <w:pStyle w:val="ListBullet"/>
      </w:pPr>
      <w:r>
        <w:t>People portraits: 8–10 individual portraits (mixed gender, functions) for the recurring «People of Sudair» card.</w:t>
      </w:r>
    </w:p>
    <w:p>
      <w:pPr>
        <w:pStyle w:val="ListBullet"/>
      </w:pPr>
      <w:r>
        <w:t>Event photography: Global Health Exhibition 2025/2026 full set (booth, signing, delegation visits) at original resolution.</w:t>
      </w:r>
    </w:p>
    <w:p>
      <w:pPr>
        <w:pStyle w:val="Heading1"/>
      </w:pPr>
      <w:r>
        <w:rPr>
          <w:color w:val="093F30"/>
        </w:rPr>
        <w:t>H. Data that must stay internal (do not publish without written approval)</w:t>
      </w:r>
    </w:p>
    <w:p>
      <w:pPr>
        <w:pStyle w:val="ListBullet"/>
      </w:pPr>
      <w:r>
        <w:t>Any capacity, utilisation, export or inspection numbers → investor-materials channel only, never social.</w:t>
      </w:r>
    </w:p>
    <w:p>
      <w:pPr>
        <w:pStyle w:val="ListBullet"/>
      </w:pPr>
      <w:r>
        <w:t>Partner names and molecules → case-by-case written approval from the partner required first.</w:t>
      </w:r>
    </w:p>
    <w:p>
      <w:pPr>
        <w:pStyle w:val="ListBullet"/>
      </w:pPr>
      <w:r>
        <w:t>Staff full names → only with signed image consent; otherwise first name + function only.</w:t>
      </w:r>
    </w:p>
    <w:p>
      <w:r>
        <w:rPr>
          <w:i/>
          <w:sz w:val="20"/>
        </w:rPr>
        <w:br/>
        <w:t>Requested by: Sudair social media working team · For answers, return per section (A–G) in any format; we will restate each answer as approved social copy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