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01</w:t>
      </w:r>
    </w:p>
    <w:p>
      <w:r>
        <w:t>Preparación: subcaso e inventario de datos Silver. El proyecto arranca en la Sesión 02; esta hora sirve para que el equipo conozca su subcaso y los datos que recibe antes de diseñar nada.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Leer la ficha de rol del subcaso en la Cartera Oficial del Módulo 2 (Cartera_Oficial_Tres_Casos_Negocio_GIAD_v1.0.pdf) y su mapa de indicadores (GIAD-M4_Seis_Subcasos_Mapas_Indicadores_v10.pptx), y escribir en una frase la decisión que el tablero debe apoyar. Ambos documentos están en Classroom; si no los encuentran, pídanlos por el chat del curso.</w:t>
      </w:r>
    </w:p>
    <w:p>
      <w:pPr>
        <w:pStyle w:val="ListParagraph"/>
      </w:pPr>
      <w:r>
        <w:t>2. Listar las tablas Silver del subcaso en la hoja «S01 Inventario» de GIAD-M4_Plantillas_Proyecto_Integrador_v2.xlsx: nombre, qué representa cada fila (por ejemplo, «una factura» o «una lectura de un sensor cada 12 h») y columnas clave. La fila gris es un ejemplo con Acería Andina.</w:t>
      </w:r>
    </w:p>
    <w:p>
      <w:pPr>
        <w:pStyle w:val="ListParagraph"/>
      </w:pPr>
      <w:r>
        <w:t>3. Abrir cada tabla en Power BI Desktop con Obtener datos y anotar filas y columnas. Si los números con decimales se ven raros (por ejemplo, 71.8 aparece como 718), es la configuración regional de Windows: anótenlo como brecha y sigan; se corrige en la Sesión 02.</w:t>
      </w:r>
    </w:p>
    <w:p>
      <w:pPr>
        <w:pStyle w:val="ListParagraph"/>
      </w:pPr>
      <w:r>
        <w:t>4. Registrar una brecha por tabla en la columna «Brecha observada» de la misma hoja: códigos inconsistentes, fechas dudosas, valores vacíos o unidades sin declarar.</w:t>
      </w:r>
    </w:p>
    <w:p>
      <w:pPr>
        <w:pStyle w:val="ListParagraph"/>
      </w:pPr>
      <w:r>
        <w:t>5. Ficha de KPI: con la frase de la decisión, abran la hoja «Fichas KPI» de GIAD-M4_Plantillas_Proyecto_Integrador_v2.xlsx (la plantilla del proyecto, no la del taller) y anoten de 3 a 5 KPI candidatos, cada uno con la decisión que apoya (columnas «KPI» y «Decisión que apoya»).</w:t>
      </w:r>
    </w:p>
    <w:p>
      <w:pPr>
        <w:pStyle w:val="ListParagraph"/>
      </w:pPr>
      <w:r>
        <w:t>6. Priorizar una de las brechas registradas como brecha DCAM del subcaso: hecho, componente DCAM, dimensión (Compromiso, Proceso o Evidencia), puntaje tentativo de 1 a 5 y riesgo, con la misma escala del taller. Es el punto de partida del hito de la Sesión 02. Para el componente usen la lista C1–C8 de la plantilla del taller; por ejemplo, códigos inconsistentes → C5 Calidad de datos; tabla sin responsable → C3 Gobierno de datos.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Tablas Silver v10 por subcaso (filas)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erp_projects 1.200 · clients 120 · facilities 180 · financial_cashflow 11.878 · support_tickets 7.588.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support_tickets 7.588 · technicians 150 · hr_costs 11.399 · telemetry 75.240 · scada_eventos 1.854 · erp_projects 1.200 · facilities 180.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crm_billing 209.847 (8.000 abonados × hasta 36 meses) · support_log 12.000 · opex_costs 4.536 · capex_migration 21 · financial_parameters 1.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network_performance 19.782 · nms_eventos 2.295 · nodos 126 · support_log 12.000 · cuadrillas 42 · hr_schedules 7.740 (215 técnicos) · crm_billing para los abonados.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wms_orders 30.000 · client_satisfaction 21.600 · clientes 400 · productos 120 · commercial_margins 400 · inventory_tracking 7.782.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iot_telemetry 191.710 (8.000 viajes) · productos 120 · flota 100 · inventory_tracking 7.782 · warehouse_costs 144.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El inventario de tablas Silver con filas, columnas y brecha de cada una.</w:t>
      </w:r>
    </w:p>
    <w:p>
      <w:pPr>
        <w:pStyle w:val="ListBullet"/>
      </w:pPr>
      <w:r>
        <w:t>La frase de la decisión y quién del equipo comparte pantalla en la Sesión 02.</w:t>
      </w:r>
    </w:p>
    <w:p>
      <w:pPr>
        <w:pStyle w:val="ListBullet"/>
      </w:pPr>
      <w:r>
        <w:t>La hoja «Fichas KPI» con los KPI candidatos y su decisión.</w:t>
      </w:r>
    </w:p>
    <w:p>
      <w:pPr>
        <w:pStyle w:val="ListBullet"/>
      </w:pPr>
      <w:r>
        <w:t>La brecha DCAM priorizada del subcaso, con sus cinco campos.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lectura de la ficha y frase de la decisión.</w:t>
      </w:r>
    </w:p>
    <w:p>
      <w:pPr>
        <w:pStyle w:val="ListBullet"/>
      </w:pPr>
      <w:r>
        <w:t>30 min · carga y anotación de cada tabla.</w:t>
      </w:r>
    </w:p>
    <w:p>
      <w:pPr>
        <w:pStyle w:val="ListBullet"/>
      </w:pPr>
      <w:r>
        <w:t>5 min · ficha de KPI: KPI candidatos y su decisión.</w:t>
      </w:r>
    </w:p>
    <w:p>
      <w:pPr>
        <w:pStyle w:val="ListBullet"/>
      </w:pPr>
      <w:r>
        <w:t>15 min · brechas, brecha DCAM priorizada, inventario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