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02</w:t>
      </w:r>
    </w:p>
    <w:p>
      <w:r>
        <w:t>Arranque: decisión, arquitectura y mapa Silver del subcaso. Primer hito del proyecto: fija qué decisión apoya el tablero y por dónde viajan los datos del subcaso hasta Power BI.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Escribir la decisión del subcaso en una frase: quién decide, qué decide y cada cuánto.</w:t>
      </w:r>
    </w:p>
    <w:p>
      <w:pPr>
        <w:pStyle w:val="ListParagraph"/>
      </w:pPr>
      <w:r>
        <w:t>2. Dibujar el flujo en la plantilla GIAD-M4-S02_Plantilla_Diagrama_Arquitectura.pptx (Classroom): cinco cajas para rellenar —origen, tabla Silver, Power Query, modelo semántico e indicador—, partiendo de la brecha DCAM priorizada. La primera diapositiva es un ejemplo con Acería Andina; completen la segunda.</w:t>
      </w:r>
    </w:p>
    <w:p>
      <w:pPr>
        <w:pStyle w:val="ListParagraph"/>
      </w:pPr>
      <w:r>
        <w:t>3. Completar el mapa Silver en la hoja «S02 Mapa Silver» de GIAD-M4_Plantillas_Proyecto_Integrador_v2.xlsx: archivo, granularidad, identificador único, frecuencia y propietario de cada tabla. Granularidad es qué representa una fila (una orden, una lectura semanal de un nodo). Identificador único es la columna que no se repite y distingue cada fila (por ejemplo, id_orden); si ninguna columna sirve, anótenlo como riesgo.</w:t>
      </w:r>
    </w:p>
    <w:p>
      <w:pPr>
        <w:pStyle w:val="ListParagraph"/>
      </w:pPr>
      <w:r>
        <w:t>4. Anotar el riesgo principal y el control que lo reduce; lo no demostrado queda como pendiente con responsable.</w:t>
      </w:r>
    </w:p>
    <w:p>
      <w:pPr>
        <w:pStyle w:val="ListParagraph"/>
      </w:pPr>
      <w:r>
        <w:t>5. Ficha de KPI: elijan de 5 a 8 KPI para el subcaso (el catálogo está en la Referencia de KPI) y completen en la hoja «Fichas KPI» de GIAD-M4_Plantillas_Proyecto_Integrador_v2.xlsx el nivel de decisión, la fórmula en palabras y la unidad. Nivel de decisión: estratégico (lo usa la gerencia), táctico (jefe de área) u operativo (turno). La hoja «Campos ficha KPI» explica cada campo con un ejemplo.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Granularidad que suele confundir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Una factura por fila (con fecha); costo_base_bob vive en proyectos y no tiene fecha.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Telemetría: una lectura cada 12 h por instalación (2022–2025); los tickets llegan hasta junio de 2026.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crm_billing es una instantánea abonado × mes, no una tabla de abonados. OPEX: nodo × mes. CAPEX: zona × tecnología.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network_performance: una lectura semanal por nodo. hr_schedules: técnico × mes.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Una encuesta por orden, solo para el 72 % de las órdenes. commercial_margins: una fila por cliente, sin periodo.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Telemetría: una lectura cada 30 min, de 18 a 30 por viaje; viaje_id no tiene tabla propia.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El diagrama de arquitectura y el mapa Silver en un PDF (M4_EquipoXX_S02_Arquitectura.pdf) y su versión editable. Para el PDF: en PowerPoint, Archivo → Exportar → Crear PDF.</w:t>
      </w:r>
    </w:p>
    <w:p>
      <w:pPr>
        <w:pStyle w:val="ListBullet"/>
      </w:pPr>
      <w:r>
        <w:t>Una línea con lo que quedó pendiente y quién se hace cargo.</w:t>
      </w:r>
    </w:p>
    <w:p>
      <w:pPr>
        <w:pStyle w:val="ListBullet"/>
      </w:pPr>
      <w:r>
        <w:t>La hoja «Fichas KPI» con los KPI elegidos, su nivel, fórmula y unidad.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decisión y brecha DCAM.</w:t>
      </w:r>
    </w:p>
    <w:p>
      <w:pPr>
        <w:pStyle w:val="ListBullet"/>
      </w:pPr>
      <w:r>
        <w:t>30 min · diagrama y mapa Silver.</w:t>
      </w:r>
    </w:p>
    <w:p>
      <w:pPr>
        <w:pStyle w:val="ListBullet"/>
      </w:pPr>
      <w:r>
        <w:t>5 min · ficha de KPI: nivel, fórmula y unidad de cada KPI.</w:t>
      </w:r>
    </w:p>
    <w:p>
      <w:pPr>
        <w:pStyle w:val="ListBullet"/>
      </w:pPr>
      <w:r>
        <w:t>15 min · riesgo, control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