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F5A94"/>
          <w:sz w:val="18"/>
        </w:rPr>
        <w:t>DIPLOMADO EN GESTIÓN INDUSTRIAL Y ANALÍTICA DE DATOS · MÓDULO 4</w:t>
      </w:r>
    </w:p>
    <w:p>
      <w:pPr>
        <w:pStyle w:val="Title"/>
      </w:pPr>
      <w:r>
        <w:rPr>
          <w:color w:val="1F5A94"/>
        </w:rPr>
        <w:t>Proyecto Integrador · Hito de la Sesión 03</w:t>
      </w:r>
    </w:p>
    <w:p>
      <w:r>
        <w:t>Conexión parametrizada de las tablas Silver del subcaso. Lleva a Power BI las tablas que el equipo inventarió, de forma que el archivo se pueda mover de computadora sin editar consultas. Trabajo en equipo, 1 hora, dentro de las 5 horas de trabajo autónomo del día. Formativo: no lleva nota; el Proyecto Integrador se califica una sola vez, en la Sesión 13.</w:t>
      </w:r>
    </w:p>
    <w:p>
      <w:pPr>
        <w:pStyle w:val="Heading1"/>
      </w:pPr>
      <w:r>
        <w:rPr>
          <w:color w:val="1F5A94"/>
        </w:rPr>
        <w:t>Cómo se trabaja la hora de equipo</w:t>
      </w:r>
    </w:p>
    <w:p>
      <w:pPr>
        <w:pStyle w:val="ListBullet"/>
      </w:pPr>
      <w:r>
        <w:t>Una persona comparte pantalla y opera Power BI; el resto decide, revisa y documenta. Roten quién comparte pantalla en cada hito.</w:t>
      </w:r>
    </w:p>
    <w:p>
      <w:pPr>
        <w:pStyle w:val="ListBullet"/>
      </w:pPr>
      <w:r>
        <w:t>Partan de lo que cada uno hizo en la práctica del día con Acería Andina: es la plantilla. Se adapta a los datos del subcaso, no se inventa desde cero.</w:t>
      </w:r>
    </w:p>
    <w:p>
      <w:pPr>
        <w:pStyle w:val="ListBullet"/>
      </w:pPr>
      <w:r>
        <w:t>Si en 15 minutos algo no sale, anoten el problema y sigan con lo siguiente: se destraba en la próxima puesta en común.</w:t>
      </w:r>
    </w:p>
    <w:p>
      <w:pPr>
        <w:pStyle w:val="Heading1"/>
      </w:pPr>
      <w:r>
        <w:rPr>
          <w:color w:val="1F5A94"/>
        </w:rPr>
        <w:t>Qué tienen que lograr</w:t>
      </w:r>
    </w:p>
    <w:p>
      <w:pPr>
        <w:pStyle w:val="ListParagraph"/>
      </w:pPr>
      <w:r>
        <w:t>1. Copiar la carpeta GIAD-M3_datos_sinteticos_v10_silver en C:\GIAD\ (la misma ruta en la computadora de cada integrante) y crear el parámetro RutaSilver (Inicio → Transformar datos; en el Editor de Power Query, Inicio → Administrar parámetros → Nuevo parámetro), de tipo texto, con valor C:\GIAD\GIAD-M3_datos_sinteticos_v10_silver\ (con la barra final). Conectar con él cada tabla del subcaso, como en la práctica: File.Contents(RutaSilver &amp; "nombre_del_archivo.csv"). Antes de conectar, en Opciones → Archivo actual elijan región Inglés (Estados Unidos): todos los números Silver usan punto decimal.</w:t>
      </w:r>
    </w:p>
    <w:p>
      <w:pPr>
        <w:pStyle w:val="ListParagraph"/>
      </w:pPr>
      <w:r>
        <w:t>2. Fijar el nivel de privacidad de cada fuente y registrar por qué.</w:t>
      </w:r>
    </w:p>
    <w:p>
      <w:pPr>
        <w:pStyle w:val="ListParagraph"/>
      </w:pPr>
      <w:r>
        <w:t>3. Activar el perfil de columnas sobre todo el conjunto y anotar filas, tipos, vacíos y valores fuera de rango. En las tablas grandes (crm_billing, iot_telemetry) el perfil completo puede tardar uno o dos minutos: esperen.</w:t>
      </w:r>
    </w:p>
    <w:p>
      <w:pPr>
        <w:pStyle w:val="ListParagraph"/>
      </w:pPr>
      <w:r>
        <w:t>4. Armar la lista de excepciones en la hoja «S03 Linaje» de GIAD-M4_Plantillas_Proyecto_Integrador_v2.xlsx, una fila por fuente (la fila gris es un ejemplo): qué se encontró, en qué tabla y qué regla se propone para la Sesión 04.</w:t>
      </w:r>
    </w:p>
    <w:p>
      <w:pPr>
        <w:pStyle w:val="ListParagraph"/>
      </w:pPr>
      <w:r>
        <w:t>5. Ficha de KPI: con el linaje de hoy, anoten en la hoja «Fichas KPI» de GIAD-M4_Plantillas_Proyecto_Integrador_v2.xlsx de qué tablas sale cada KPI (columna «Tabla(s) fuente»).</w:t>
      </w:r>
    </w:p>
    <w:p>
      <w:pPr>
        <w:pStyle w:val="Heading1"/>
      </w:pPr>
      <w:r>
        <w:t>Datos oficiales: Silver sintético v10</w:t>
      </w:r>
    </w:p>
    <w:p>
      <w:r>
        <w:t>Trabajen sobre la carpeta GIAD-M3_datos_sinteticos_v10_silver: son los datos oficiales del Proyecto Integrador. El documento «GIAD-M4_PowerBI_Modelo_Relaciones_DAX_Seis_Subcasos_v10» trae las tablas, relaciones, medidas y valores de referencia de cada evidencia. Busquen la fila de su subcaso.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381"/>
        <w:gridCol w:w="7257"/>
      </w:tblGrid>
      <w:tr>
        <w:trPr>
          <w:cantSplit/>
        </w:trPr>
        <w:tc>
          <w:tcPr>
            <w:tcW w:type="dxa" w:w="2381"/>
            <w:shd w:val="clear" w:color="auto" w:fill="1F3A5F"/>
          </w:tcPr>
          <w:p>
            <w:r/>
            <w:r>
              <w:rPr>
                <w:b/>
                <w:color w:val="FFFFFF"/>
                <w:sz w:val="19"/>
              </w:rPr>
              <w:t>Subcaso</w:t>
            </w:r>
          </w:p>
        </w:tc>
        <w:tc>
          <w:tcPr>
            <w:tcW w:type="dxa" w:w="7257"/>
            <w:shd w:val="clear" w:color="auto" w:fill="1F3A5F"/>
          </w:tcPr>
          <w:p>
            <w:r/>
            <w:r>
              <w:rPr>
                <w:b/>
                <w:color w:val="FFFFFF"/>
                <w:sz w:val="19"/>
              </w:rPr>
              <w:t>Qué deberían encontrar en el perfil de columnas</w:t>
            </w:r>
          </w:p>
        </w:tc>
      </w:tr>
      <w:tr>
        <w:trPr>
          <w:cantSplit/>
        </w:trPr>
        <w:tc>
          <w:tcPr>
            <w:tcW w:type="dxa" w:w="2381"/>
          </w:tcPr>
          <w:p>
            <w:r/>
            <w:r>
              <w:rPr>
                <w:b/>
                <w:sz w:val="18"/>
              </w:rPr>
              <w:t>01A · AITSA · Gerencia General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Números con punto decimal (configuración regional en-US). fecha_cierre de tickets con nanosegundos: conviértala con DateTime.FromText(Text.Start([fecha_cierre], 19)).</w:t>
            </w:r>
          </w:p>
        </w:tc>
      </w:tr>
      <w:tr>
        <w:trPr>
          <w:cantSplit/>
        </w:trPr>
        <w:tc>
          <w:tcPr>
            <w:tcW w:type="dxa" w:w="2381"/>
          </w:tcPr>
          <w:p>
            <w:r/>
            <w:r>
              <w:rPr>
                <w:b/>
                <w:sz w:val="18"/>
              </w:rPr>
              <w:t>01B · AITSA · Operaciones y PMO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Lo mismo con fecha_cierre. Severidad «Crítica» con tilde. nivel_certificacion es numérico (1–4).</w:t>
            </w:r>
          </w:p>
        </w:tc>
      </w:tr>
      <w:tr>
        <w:trPr>
          <w:cantSplit/>
        </w:trPr>
        <w:tc>
          <w:tcPr>
            <w:tcW w:type="dxa" w:w="2381"/>
          </w:tcPr>
          <w:p>
            <w:r/>
            <w:r>
              <w:rPr>
                <w:b/>
                <w:sz w:val="18"/>
              </w:rPr>
              <w:t>02A · RedNexo · Estrategia y Finanzas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fecha_cierre de support_log con nanosegundos. abonado_nombre es un dato personal. churn_risk es un indicador por reglas, no una probabilidad.</w:t>
            </w:r>
          </w:p>
        </w:tc>
      </w:tr>
      <w:tr>
        <w:trPr>
          <w:cantSplit/>
        </w:trPr>
        <w:tc>
          <w:tcPr>
            <w:tcW w:type="dxa" w:w="2381"/>
          </w:tcPr>
          <w:p>
            <w:r/>
            <w:r>
              <w:rPr>
                <w:b/>
                <w:sz w:val="18"/>
              </w:rPr>
              <w:t>02B · RedNexo · Tecnología y Operaciones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fecha_cierre con nanosegundos. abonado_nombre y tecnico_nombre son datos personales. experiencia es un número de años.</w:t>
            </w:r>
          </w:p>
        </w:tc>
      </w:tr>
      <w:tr>
        <w:trPr>
          <w:cantSplit/>
        </w:trPr>
        <w:tc>
          <w:tcPr>
            <w:tcW w:type="dxa" w:w="2381"/>
          </w:tcPr>
          <w:p>
            <w:r/>
            <w:r>
              <w:rPr>
                <w:b/>
                <w:sz w:val="18"/>
              </w:rPr>
              <w:t>03A · AndinaLog · Comercial y Clientes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El 28 % de las órdenes no tiene encuesta: no es un error ni se imputa. particion_modelo viene del Módulo 3.</w:t>
            </w:r>
          </w:p>
        </w:tc>
      </w:tr>
      <w:tr>
        <w:trPr>
          <w:cantSplit/>
        </w:trPr>
        <w:tc>
          <w:tcPr>
            <w:tcW w:type="dxa" w:w="2381"/>
          </w:tcPr>
          <w:p>
            <w:r/>
            <w:r>
              <w:rPr>
                <w:b/>
                <w:sz w:val="18"/>
              </w:rPr>
              <w:t>03B · AndinaLog · Operaciones y Datos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fecha_salida nunca está vacía. Las fechas traen hora: decidan si trabajan con fecha y hora o solo con fecha.</w:t>
            </w:r>
          </w:p>
        </w:tc>
      </w:tr>
    </w:tbl>
    <w:p>
      <w:r>
        <w:t>Cómo aplicar la fórmula de las fechas con nanosegundos (01A, 01B, 02A y 02B): en Power Query, Agregar columna → Columna personalizada; nombre fecha_cierre_dt; pegue DateTime.FromText(Text.Start([fecha_cierre], 19)) y Aceptar. Después cambie el tipo de la nueva columna a Fecha y hora. Text.Start toma los primeros 19 caracteres (AAAA-MM-DD hh:mm:ss) y descarta los nanosegundos.</w:t>
      </w:r>
    </w:p>
    <w:p>
      <w:pPr>
        <w:pStyle w:val="Heading1"/>
      </w:pPr>
      <w:r>
        <w:rPr>
          <w:color w:val="1F5A94"/>
        </w:rPr>
        <w:t>Qué suben a Classroom (hasta las 18:00 del día siguiente)</w:t>
      </w:r>
    </w:p>
    <w:p>
      <w:pPr>
        <w:pStyle w:val="ListBullet"/>
      </w:pPr>
      <w:r>
        <w:t>Una captura de Power Query (Win+Shift+S) donde se vean el panel Consultas con el parámetro RutaSilver y la barra de fórmulas del paso Origen de una tabla, y la hoja «S03 Linaje» completa.</w:t>
      </w:r>
    </w:p>
    <w:p>
      <w:pPr>
        <w:pStyle w:val="ListBullet"/>
      </w:pPr>
      <w:r>
        <w:t>La lista de excepciones y quién la revisa antes de la próxima sesión.</w:t>
      </w:r>
    </w:p>
    <w:p>
      <w:pPr>
        <w:pStyle w:val="ListBullet"/>
      </w:pPr>
      <w:r>
        <w:t>La hoja «Fichas KPI» con las tablas fuente de cada KPI.</w:t>
      </w:r>
    </w:p>
    <w:p>
      <w:pPr>
        <w:pStyle w:val="Heading1"/>
      </w:pPr>
      <w:r>
        <w:rPr>
          <w:color w:val="1F5A94"/>
        </w:rPr>
        <w:t>Tiempo sugerido (60 minutos)</w:t>
      </w:r>
    </w:p>
    <w:p>
      <w:pPr>
        <w:pStyle w:val="ListBullet"/>
      </w:pPr>
      <w:r>
        <w:t>10 min · parámetro y primera conexión.</w:t>
      </w:r>
    </w:p>
    <w:p>
      <w:pPr>
        <w:pStyle w:val="ListBullet"/>
      </w:pPr>
      <w:r>
        <w:t>30 min · resto de tablas, privacidad y perfil.</w:t>
      </w:r>
    </w:p>
    <w:p>
      <w:pPr>
        <w:pStyle w:val="ListBullet"/>
      </w:pPr>
      <w:r>
        <w:t>5 min · ficha de KPI: tablas fuente de cada KPI.</w:t>
      </w:r>
    </w:p>
    <w:p>
      <w:pPr>
        <w:pStyle w:val="ListBullet"/>
      </w:pPr>
      <w:r>
        <w:t>15 min · lista de excepciones y subida a Classroom.</w:t>
      </w:r>
    </w:p>
    <w:sectPr w:rsidR="00FC693F" w:rsidRPr="0006063C" w:rsidSect="00034616">
      <w:pgSz w:w="12240" w:h="15840"/>
      <w:pgMar w:top="1440" w:right="1247" w:bottom="144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