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5A94"/>
          <w:sz w:val="18"/>
        </w:rPr>
        <w:t>DIPLOMADO EN GESTIÓN INDUSTRIAL Y ANALÍTICA DE DATOS · MÓDULO 4</w:t>
      </w:r>
    </w:p>
    <w:p>
      <w:pPr>
        <w:pStyle w:val="Title"/>
      </w:pPr>
      <w:r>
        <w:rPr>
          <w:color w:val="1F5A94"/>
        </w:rPr>
        <w:t>Proyecto Integrador · Hito de la Sesión 04</w:t>
      </w:r>
    </w:p>
    <w:p>
      <w:r>
        <w:t>Reglas de limpieza sobre las tablas Silver del subcaso. Convierte la lista de excepciones de la Sesión 03 en reglas aplicadas, contadas y reversibles. Trabajo en equipo, 1 hora, dentro de las 5 horas de trabajo autónomo del día. Formativo: no lleva nota; el Proyecto Integrador se califica una sola vez, en la Sesión 13.</w:t>
      </w:r>
    </w:p>
    <w:p>
      <w:pPr>
        <w:pStyle w:val="Heading1"/>
      </w:pPr>
      <w:r>
        <w:rPr>
          <w:color w:val="1F5A94"/>
        </w:rPr>
        <w:t>Cómo se trabaja la hora de equipo</w:t>
      </w:r>
    </w:p>
    <w:p>
      <w:pPr>
        <w:pStyle w:val="ListBullet"/>
      </w:pPr>
      <w:r>
        <w:t>Una persona comparte pantalla y opera Power BI; el resto decide, revisa y documenta. Roten quién comparte pantalla en cada hito.</w:t>
      </w:r>
    </w:p>
    <w:p>
      <w:pPr>
        <w:pStyle w:val="ListBullet"/>
      </w:pPr>
      <w:r>
        <w:t>Partan de lo que cada uno hizo en la práctica del día con Acería Andina: es la plantilla. Se adapta a los datos del subcaso, no se inventa desde cero.</w:t>
      </w:r>
    </w:p>
    <w:p>
      <w:pPr>
        <w:pStyle w:val="ListBullet"/>
      </w:pPr>
      <w:r>
        <w:t>Si en 15 minutos algo no sale, anoten el problema y sigan con lo siguiente: se destraba en la próxima puesta en común.</w:t>
      </w:r>
    </w:p>
    <w:p>
      <w:pPr>
        <w:pStyle w:val="Heading1"/>
      </w:pPr>
      <w:r>
        <w:rPr>
          <w:color w:val="1F5A94"/>
        </w:rPr>
        <w:t>Qué tienen que lograr</w:t>
      </w:r>
    </w:p>
    <w:p>
      <w:pPr>
        <w:pStyle w:val="ListParagraph"/>
      </w:pPr>
      <w:r>
        <w:t>1. Elegir de la lista de excepciones las dos o tres que más afectan la decisión del subcaso.</w:t>
      </w:r>
    </w:p>
    <w:p>
      <w:pPr>
        <w:pStyle w:val="ListParagraph"/>
      </w:pPr>
      <w:r>
        <w:t>2. Aplicar cada regla en Power Query con un paso nombrado: normalizar, quitar duplicados, marcar o reemplazar centinelas. Todo se hace en el Editor de Power Query (Inicio → Transformar datos); renombre cada paso con clic derecho → Cambiar nombre.</w:t>
      </w:r>
    </w:p>
    <w:p>
      <w:pPr>
        <w:pStyle w:val="ListParagraph"/>
      </w:pPr>
      <w:r>
        <w:t>3. Registrar filas antes y después de cada regla y qué quedó marcado para revisar. Para contar filas: la barra de estado del Editor solo dice «999+ filas». Seleccione cualquier columna y lea Recuento en Estadísticas de columna (debajo de la tabla, con el perfil sobre todo el conjunto). Para contar una categoría, filtre, lea Recuento y borre el paso del filtro (la X a la izquierda del paso). Para ver cuántas filas tiene cada valor, use el gráfico Distribución de valores del Perfil de columna.</w:t>
      </w:r>
    </w:p>
    <w:p>
      <w:pPr>
        <w:pStyle w:val="ListParagraph"/>
      </w:pPr>
      <w:r>
        <w:t>4. Identificar si el subcaso tiene algún dato personal y decidir si se elimina, enmascara o pseudonimiza.</w:t>
      </w:r>
    </w:p>
    <w:p>
      <w:pPr>
        <w:pStyle w:val="ListParagraph"/>
      </w:pPr>
      <w:r>
        <w:t>5. Ficha de KPI: para cada KPI, anoten en la hoja «Fichas KPI» de la plantilla v2 la regla de calidad aplicada hoy que impide que un dato malo lo mueva.</w:t>
      </w:r>
    </w:p>
    <w:p>
      <w:pPr>
        <w:pStyle w:val="Heading1"/>
      </w:pPr>
      <w:r>
        <w:t>Datos oficiales: Silver sintético v10</w:t>
      </w:r>
    </w:p>
    <w:p>
      <w:r>
        <w:t>Trabajen sobre la carpeta GIAD-M3_datos_sinteticos_v10_silver: son los datos oficiales del Proyecto Integrador. El documento «GIAD-M4_PowerBI_Modelo_Relaciones_DAX_Seis_Subcasos_v10» trae las tablas, relaciones, medidas y valores de referencia de cada evidencia. Busquen la fila de su subcaso.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rPr>
          <w:cantSplit/>
        </w:trPr>
        <w:tc>
          <w:tcPr>
            <w:tcW w:type="dxa" w:w="2381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Subcaso</w:t>
            </w:r>
          </w:p>
        </w:tc>
        <w:tc>
          <w:tcPr>
            <w:tcW w:type="dxa" w:w="7257"/>
            <w:shd w:val="clear" w:color="auto" w:fill="1F3A5F"/>
          </w:tcPr>
          <w:p>
            <w:r/>
            <w:r>
              <w:rPr>
                <w:b/>
                <w:color w:val="FFFFFF"/>
                <w:sz w:val="19"/>
              </w:rPr>
              <w:t>Reglas que conviene aplicar en su subcaso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01A · AITSA · Gerencia General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No borrar los 30 clientes sin proyectos: son información. Verificar que project_id no se repita.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01B · AITSA · Operaciones y PMO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Normalizar la severidad sin quitar la tilde. Recortar espacios y alinear el tipo de tecnico_id_asignado con tecnico_id.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02A · RedNexo · Estrategia y Finanzas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Quitar abonado_nombre si el tablero no lo usa. Convertir periodo_mes a fecha.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02B · RedNexo · Tecnología y Operaciones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Quitar o enmascarar abonado_nombre y tecnico_nombre (son seudónimos, pero identifican a una persona).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03A · AndinaLog · Comercial y Clientes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Quitar chofer_nombre si se carga hr_drivers. No completar encuestas faltantes.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b/>
                <w:sz w:val="18"/>
              </w:rPr>
              <w:t>03B · AndinaLog · Operaciones y Datos</w:t>
            </w:r>
          </w:p>
        </w:tc>
        <w:tc>
          <w:tcPr>
            <w:tcW w:type="dxa" w:w="7257"/>
          </w:tcPr>
          <w:p>
            <w:r/>
            <w:r>
              <w:rPr>
                <w:b w:val="0"/>
                <w:sz w:val="18"/>
              </w:rPr>
              <w:t>Convertir a fecha (sin hora) las columnas que usen para contar días calendario.</w:t>
            </w:r>
          </w:p>
        </w:tc>
      </w:tr>
    </w:tbl>
    <w:p>
      <w:pPr>
        <w:pStyle w:val="Heading1"/>
      </w:pPr>
      <w:r>
        <w:rPr>
          <w:color w:val="1F5A94"/>
        </w:rPr>
        <w:t>Qué suben a Classroom (hasta las 18:00 del día siguiente)</w:t>
      </w:r>
    </w:p>
    <w:p>
      <w:pPr>
        <w:pStyle w:val="ListBullet"/>
      </w:pPr>
      <w:r>
        <w:t>Una captura de los pasos aplicados y la ficha antes/después del subcaso.</w:t>
      </w:r>
    </w:p>
    <w:p>
      <w:pPr>
        <w:pStyle w:val="ListBullet"/>
      </w:pPr>
      <w:r>
        <w:t>Una línea con lo que quedó pendiente y quién se hace cargo.</w:t>
      </w:r>
    </w:p>
    <w:p>
      <w:pPr>
        <w:pStyle w:val="ListBullet"/>
      </w:pPr>
      <w:r>
        <w:t>La hoja «Fichas KPI» con la regla de calidad de cada KPI.</w:t>
      </w:r>
    </w:p>
    <w:p>
      <w:pPr>
        <w:pStyle w:val="Heading1"/>
      </w:pPr>
      <w:r>
        <w:rPr>
          <w:color w:val="1F5A94"/>
        </w:rPr>
        <w:t>Tiempo sugerido (60 minutos)</w:t>
      </w:r>
    </w:p>
    <w:p>
      <w:pPr>
        <w:pStyle w:val="ListBullet"/>
      </w:pPr>
      <w:r>
        <w:t>10 min · elegir las reglas.</w:t>
      </w:r>
    </w:p>
    <w:p>
      <w:pPr>
        <w:pStyle w:val="ListBullet"/>
      </w:pPr>
      <w:r>
        <w:t>30 min · aplicarlas y contar.</w:t>
      </w:r>
    </w:p>
    <w:p>
      <w:pPr>
        <w:pStyle w:val="ListBullet"/>
      </w:pPr>
      <w:r>
        <w:t>5 min · ficha de KPI: regla de calidad de cada KPI.</w:t>
      </w:r>
    </w:p>
    <w:p>
      <w:pPr>
        <w:pStyle w:val="ListBullet"/>
      </w:pPr>
      <w:r>
        <w:t>15 min · protección, ficha y subida a Classroom.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