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5A94"/>
          <w:sz w:val="18"/>
        </w:rPr>
        <w:t>DIPLOMADO EN GESTIÓN INDUSTRIAL Y ANALÍTICA DE DATOS · MÓDULO 4</w:t>
      </w:r>
    </w:p>
    <w:p>
      <w:pPr>
        <w:pStyle w:val="Title"/>
      </w:pPr>
      <w:r>
        <w:rPr>
          <w:color w:val="1F5A94"/>
        </w:rPr>
        <w:t>Proyecto Integrador · Hito de la Sesión 07</w:t>
      </w:r>
    </w:p>
    <w:p>
      <w:r>
        <w:t>Tres KPI del subcaso, programados como medidas DAX y validados. Trabajo en equipo, 1 hora, dentro de las 5 horas de trabajo autónomo del día. Formativo: no lleva nota; el Proyecto Integrador se califica una sola vez, en la Sesión 13.</w:t>
      </w:r>
    </w:p>
    <w:p>
      <w:pPr>
        <w:pStyle w:val="Heading1"/>
      </w:pPr>
      <w:r>
        <w:rPr>
          <w:color w:val="1F5A94"/>
        </w:rPr>
        <w:t>Cómo se trabaja la hora de equipo</w:t>
      </w:r>
    </w:p>
    <w:p>
      <w:pPr>
        <w:pStyle w:val="ListBullet"/>
      </w:pPr>
      <w:r>
        <w:t>Una persona comparte pantalla y opera Power BI; el resto decide, calcula a mano y documenta. Roten quién comparte pantalla en cada hito.</w:t>
      </w:r>
    </w:p>
    <w:p>
      <w:pPr>
        <w:pStyle w:val="ListBullet"/>
      </w:pPr>
      <w:r>
        <w:t>Partan del modelo estrella del hito de la Sesión 06 y de lo que cada uno hizo en la práctica de hoy: las medidas de Acería Andina son la plantilla. Se adaptan a las columnas del subcaso, no se inventan desde cero.</w:t>
      </w:r>
    </w:p>
    <w:p>
      <w:pPr>
        <w:pStyle w:val="ListBullet"/>
      </w:pPr>
      <w:r>
        <w:t>Si el equipo se trabó y tiene muy poco avance, escríbanle al docente en privado contando dónde se trabaron: puede compartirles un modelo de referencia de rescate. Aun así, las medidas y su validación son del equipo.</w:t>
      </w:r>
    </w:p>
    <w:p>
      <w:pPr>
        <w:pStyle w:val="ListBullet"/>
      </w:pPr>
      <w:r>
        <w:t>Si en 15 minutos no logran que una medida responda a los filtros, anoten el problema y pasen a la siguiente: se destraba en la próxima puesta en común.</w:t>
      </w:r>
    </w:p>
    <w:p>
      <w:pPr>
        <w:pStyle w:val="Heading1"/>
      </w:pPr>
      <w:r>
        <w:rPr>
          <w:color w:val="1F5A94"/>
        </w:rPr>
        <w:t>Qué tienen que lograr</w:t>
      </w:r>
    </w:p>
    <w:p>
      <w:pPr>
        <w:pStyle w:val="ListParagraph"/>
      </w:pPr>
      <w:r>
        <w:t>1. Elegir tres KPI de la hoja «Fichas KPI» que apoyen la decisión anotada en su columna «Decisión que apoya» (Sesión 01). Al menos uno debe ser una proporción (numerador sobre denominador).</w:t>
      </w:r>
    </w:p>
    <w:p>
      <w:pPr>
        <w:pStyle w:val="ListParagraph"/>
      </w:pPr>
      <w:r>
        <w:t>2. Programar cada KPI como medida (panel Datos → clic derecho en la tabla de hechos → Nueva medida), con DIVIDE en toda división y medidas separadas para numerador y denominador cuando corresponda. Si una subexpresión se repite dentro de la fórmula, nómbrenla con VAR.</w:t>
      </w:r>
    </w:p>
    <w:p>
      <w:pPr>
        <w:pStyle w:val="ListParagraph"/>
      </w:pPr>
      <w:r>
        <w:t>3. Validar cada KPI contra un cálculo manual en un contexto conocido y registrarlo en la hoja «S07 KPI» de la plantilla v2, desde la fila 8 (la fila gris es el ejemplo de Acería Andina): KPI, medida DAX, contexto de prueba, cálculo manual y valor en Power BI; la columna «¿Coincide?» se calcula sola y, si dice No, anoten en la última columna dónde se separa. El contexto puede ser el total, que se compara con la tabla de abajo, o uno filtrado (un mes, una unidad, un rol), calculado a mano o en Excel. Escriban los porcentajes con el signo % (27,99 %), no como 27,99; los demás valores, como los muestra Power BI (215 o 3457473,13), con el cálculo manual redondeado a los mismos decimales.</w:t>
      </w:r>
    </w:p>
    <w:p>
      <w:pPr>
        <w:pStyle w:val="ListParagraph"/>
      </w:pPr>
      <w:r>
        <w:t>4. Completar en la hoja «Fichas KPI», para cada KPI validado, las columnas de la Sesión 07: «Medida DAX» (la fórmula), «Frecuencia de revisión», «Línea base (valor)» (el valor validado en «S07 KPI») y «Periodo / contexto de la línea base» (el contexto de esa prueba). Tres KPI como mínimo hoy; el catálogo final tiene de 5 a 8.</w:t>
      </w:r>
    </w:p>
    <w:p>
      <w:pPr>
        <w:pStyle w:val="Heading1"/>
      </w:pPr>
      <w:r>
        <w:t>Datos oficiales: Silver sintético v10</w:t>
      </w:r>
    </w:p>
    <w:p>
      <w:r>
        <w:t>Trabajen sobre la carpeta GIAD-M3_datos_sinteticos_v10_silver: son los datos oficiales del Proyecto Integrador. El documento «GIAD-M4_PowerBI_Modelo_Relaciones_DAX_Seis_Subcasos_v10» trae las tablas, relaciones, medidas y valores de referencia de cada evidencia. Busquen la fila de su subcaso. Salvo que la tabla indique un mes o un año, los valores son del periodo completo, sin filtros.</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shd w:val="clear" w:color="auto" w:fill="1F3A5F"/>
          </w:tcPr>
          <w:p>
            <w:pPr>
              <w:keepNext/>
            </w:pPr>
            <w:r/>
            <w:r>
              <w:rPr>
                <w:b/>
                <w:color w:val="FFFFFF"/>
                <w:sz w:val="19"/>
              </w:rPr>
              <w:t>Subcaso</w:t>
            </w:r>
          </w:p>
        </w:tc>
        <w:tc>
          <w:tcPr>
            <w:tcW w:type="dxa" w:w="7257"/>
            <w:shd w:val="clear" w:color="auto" w:fill="1F3A5F"/>
          </w:tcPr>
          <w:p>
            <w:pPr>
              <w:keepNext/>
            </w:pPr>
            <w:r/>
            <w:r>
              <w:rPr>
                <w:b/>
                <w:color w:val="FFFFFF"/>
                <w:sz w:val="19"/>
              </w:rPr>
              <w:t>Valores para validar sus medidas</w:t>
            </w:r>
          </w:p>
        </w:tc>
      </w:tr>
      <w:tr>
        <w:trPr>
          <w:cantSplit/>
        </w:trPr>
        <w:tc>
          <w:tcPr>
            <w:tcW w:type="dxa" w:w="2381"/>
          </w:tcPr>
          <w:p>
            <w:pPr>
              <w:keepNext/>
            </w:pPr>
            <w:r/>
            <w:r>
              <w:rPr>
                <w:b/>
                <w:sz w:val="18"/>
              </w:rPr>
              <w:t>01A · AITSA · Gerencia General</w:t>
            </w:r>
          </w:p>
        </w:tc>
        <w:tc>
          <w:tcPr>
            <w:tcW w:type="dxa" w:w="7257"/>
          </w:tcPr>
          <w:p>
            <w:pPr>
              <w:keepNext/>
            </w:pPr>
            <w:r/>
            <w:r>
              <w:rPr>
                <w:b w:val="0"/>
                <w:sz w:val="18"/>
              </w:rPr>
              <w:t>Margen % antes 27,99 % · después 27,58 %. Penalidades Bs 3.457.473,13. 0 proyectos con margen negativo.</w:t>
            </w:r>
          </w:p>
        </w:tc>
      </w:tr>
      <w:tr>
        <w:trPr>
          <w:cantSplit/>
        </w:trPr>
        <w:tc>
          <w:tcPr>
            <w:tcW w:type="dxa" w:w="2381"/>
          </w:tcPr>
          <w:p>
            <w:pPr>
              <w:keepNext/>
            </w:pPr>
            <w:r/>
            <w:r>
              <w:rPr>
                <w:b/>
                <w:sz w:val="18"/>
              </w:rPr>
              <w:t>01B · AITSA · Operaciones y PMO</w:t>
            </w:r>
          </w:p>
        </w:tc>
        <w:tc>
          <w:tcPr>
            <w:tcW w:type="dxa" w:w="7257"/>
          </w:tcPr>
          <w:p>
            <w:pPr>
              <w:keepNext/>
            </w:pPr>
            <w:r/>
            <w:r>
              <w:rPr>
                <w:b w:val="0"/>
                <w:sz w:val="18"/>
              </w:rPr>
              <w:t>Especialidad coincidente 25,3 %. Incumplimiento SLA 19,4 %. Brecha de certificación promedio 0,17.</w:t>
            </w:r>
          </w:p>
        </w:tc>
      </w:tr>
      <w:tr>
        <w:trPr>
          <w:cantSplit/>
        </w:trPr>
        <w:tc>
          <w:tcPr>
            <w:tcW w:type="dxa" w:w="2381"/>
          </w:tcPr>
          <w:p>
            <w:pPr>
              <w:keepNext/>
            </w:pPr>
            <w:r/>
            <w:r>
              <w:rPr>
                <w:b/>
                <w:sz w:val="18"/>
              </w:rPr>
              <w:t>02A · RedNexo · Estrategia y Finanzas</w:t>
            </w:r>
          </w:p>
        </w:tc>
        <w:tc>
          <w:tcPr>
            <w:tcW w:type="dxa" w:w="7257"/>
          </w:tcPr>
          <w:p>
            <w:pPr>
              <w:keepNext/>
            </w:pPr>
            <w:r/>
            <w:r>
              <w:rPr>
                <w:b w:val="0"/>
                <w:sz w:val="18"/>
              </w:rPr>
              <w:t>Churn a 90 días 5,06 %. Abonados en diciembre de 2025: 4.390. OPEX por nodo-mes 2025: FTTH Bs 31.445.</w:t>
            </w:r>
          </w:p>
        </w:tc>
      </w:tr>
      <w:tr>
        <w:trPr>
          <w:cantSplit/>
        </w:trPr>
        <w:tc>
          <w:tcPr>
            <w:tcW w:type="dxa" w:w="2381"/>
          </w:tcPr>
          <w:p>
            <w:pPr>
              <w:keepNext/>
            </w:pPr>
            <w:r/>
            <w:r>
              <w:rPr>
                <w:b/>
                <w:sz w:val="18"/>
              </w:rPr>
              <w:t>02B · RedNexo · Tecnología y Operaciones</w:t>
            </w:r>
          </w:p>
        </w:tc>
        <w:tc>
          <w:tcPr>
            <w:tcW w:type="dxa" w:w="7257"/>
          </w:tcPr>
          <w:p>
            <w:pPr>
              <w:keepNext/>
            </w:pPr>
            <w:r/>
            <w:r>
              <w:rPr>
                <w:b w:val="0"/>
                <w:sz w:val="18"/>
              </w:rPr>
              <w:t>Técnicos 215. Experiencia promedio 7,46 años. Máximo de tickets por técnico: CUA-041 con 105,7.</w:t>
            </w:r>
          </w:p>
        </w:tc>
      </w:tr>
      <w:tr>
        <w:trPr>
          <w:cantSplit/>
        </w:trPr>
        <w:tc>
          <w:tcPr>
            <w:tcW w:type="dxa" w:w="2381"/>
          </w:tcPr>
          <w:p>
            <w:pPr>
              <w:keepNext/>
            </w:pPr>
            <w:r/>
            <w:r>
              <w:rPr>
                <w:b/>
                <w:sz w:val="18"/>
              </w:rPr>
              <w:t>03A · AndinaLog · Comercial y Clientes</w:t>
            </w:r>
          </w:p>
        </w:tc>
        <w:tc>
          <w:tcPr>
            <w:tcW w:type="dxa" w:w="7257"/>
          </w:tcPr>
          <w:p>
            <w:pPr>
              <w:keepNext/>
            </w:pPr>
            <w:r/>
            <w:r>
              <w:rPr>
                <w:b w:val="0"/>
                <w:sz w:val="18"/>
              </w:rPr>
              <w:t>OTIF 82,18 % (on time 86,32 %, in full 94,94 %). Satisfacción 4,17 sobre 21.600 encuestas. Margen ajustado 19,74 %.</w:t>
            </w:r>
          </w:p>
        </w:tc>
      </w:tr>
      <w:tr>
        <w:trPr>
          <w:cantSplit/>
        </w:trPr>
        <w:tc>
          <w:tcPr>
            <w:tcW w:type="dxa" w:w="2381"/>
          </w:tcPr>
          <w:p>
            <w:pPr>
              <w:keepNext/>
            </w:pPr>
            <w:r/>
            <w:r>
              <w:rPr>
                <w:b/>
                <w:sz w:val="18"/>
              </w:rPr>
              <w:t>03B · AndinaLog · Operaciones y Datos</w:t>
            </w:r>
          </w:p>
        </w:tc>
        <w:tc>
          <w:tcPr>
            <w:tcW w:type="dxa" w:w="7257"/>
          </w:tcPr>
          <w:p>
            <w:pPr>
              <w:keepNext/>
            </w:pPr>
            <w:r/>
            <w:r>
              <w:rPr>
                <w:b w:val="0"/>
                <w:sz w:val="18"/>
              </w:rPr>
              <w:t>Viajes con desviación 14,36 % frente a 6,14 % de lecturas. Lotes salidos vencidos 1.069. Merma 7,36 %.</w:t>
            </w:r>
          </w:p>
        </w:tc>
      </w:tr>
    </w:tbl>
    <w:p>
      <w:pPr>
        <w:pStyle w:val="Heading1"/>
      </w:pPr>
      <w:r>
        <w:rPr>
          <w:color w:val="1F5A94"/>
        </w:rPr>
        <w:t>Qué suben a Classroom (hasta las 18:00 del día siguiente)</w:t>
      </w:r>
    </w:p>
    <w:p>
      <w:pPr>
        <w:pStyle w:val="ListBullet"/>
      </w:pPr>
      <w:r>
        <w:t>Una captura del proyecto con los tres KPI en una tabla o matriz, filtrada en el contexto de la validación (o sin filtros, si validaron el total).</w:t>
      </w:r>
    </w:p>
    <w:p>
      <w:pPr>
        <w:pStyle w:val="ListBullet"/>
      </w:pPr>
      <w:r>
        <w:t>Las hojas «S07 KPI» y «Fichas KPI» de GIAD-M4_Plantillas_Proyecto_Integrador_v2.xlsx (las dos van en el mismo archivo), con las columnas de la Sesión 07 completas para los KPI validados.</w:t>
      </w:r>
    </w:p>
    <w:p>
      <w:pPr>
        <w:pStyle w:val="ListBullet"/>
      </w:pPr>
      <w:r>
        <w:t>Una línea con lo que quedó pendiente y quién se hace cargo.</w:t>
      </w:r>
    </w:p>
    <w:p>
      <w:pPr>
        <w:pStyle w:val="Heading1"/>
      </w:pPr>
      <w:r>
        <w:rPr>
          <w:color w:val="1F5A94"/>
        </w:rPr>
        <w:t>Tiempo sugerido (60 minutos)</w:t>
      </w:r>
    </w:p>
    <w:p>
      <w:pPr>
        <w:pStyle w:val="ListBullet"/>
      </w:pPr>
      <w:r>
        <w:t>10 min · elegir los tres KPI y revisar su fórmula en palabras (columna de la Sesión 02 de la ficha).</w:t>
      </w:r>
    </w:p>
    <w:p>
      <w:pPr>
        <w:pStyle w:val="ListBullet"/>
      </w:pPr>
      <w:r>
        <w:t>35 min · programar y validar (unos 12 minutos por KPI).</w:t>
      </w:r>
    </w:p>
    <w:p>
      <w:pPr>
        <w:pStyle w:val="ListBullet"/>
      </w:pPr>
      <w:r>
        <w:t>15 min · hojas «S07 KPI» y «Fichas KPI», captura y subida a Classroom.</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