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94"/>
          <w:sz w:val="18"/>
        </w:rPr>
        <w:t>DIPLOMADO EN GESTIÓN INDUSTRIAL Y ANALÍTICA DE DATOS · MÓDULO 4</w:t>
      </w:r>
    </w:p>
    <w:p>
      <w:pPr>
        <w:pStyle w:val="Title"/>
      </w:pPr>
      <w:r>
        <w:rPr>
          <w:color w:val="1F5A94"/>
        </w:rPr>
        <w:t>Proyecto Integrador · Hito de la Sesión 10</w:t>
      </w:r>
    </w:p>
    <w:p>
      <w:r>
        <w:t>Escenario prescriptivo para la decisión del mandato. Traduce la decisión que el equipo defendió en el Módulo 2 en un simulador con supuestos explícitos. Trabajo en equipo, 1 hora, dentro de las 5 horas de trabajo autónomo del día. Formativo: no lleva nota; el Proyecto Integrador se califica una sola vez, en la Sesión 13.</w:t>
      </w:r>
    </w:p>
    <w:p>
      <w:pPr>
        <w:pStyle w:val="Heading1"/>
      </w:pPr>
      <w:r>
        <w:rPr>
          <w:color w:val="1F5A94"/>
        </w:rPr>
        <w:t>Cómo se trabaja la hora de equipo</w:t>
      </w:r>
    </w:p>
    <w:p>
      <w:pPr>
        <w:pStyle w:val="ListBullet"/>
      </w:pPr>
      <w:r>
        <w:t>Una persona comparte pantalla y opera Power BI; el resto decide, revisa y documenta. Roten quién comparte pantalla en cada hito.</w:t>
      </w:r>
    </w:p>
    <w:p>
      <w:pPr>
        <w:pStyle w:val="ListBullet"/>
      </w:pPr>
      <w:r>
        <w:t>Partan de lo que cada uno hizo en la práctica del día con Acería Andina: es la plantilla. Se adapta a los datos del subcaso, no se inventa desde cero.</w:t>
      </w:r>
    </w:p>
    <w:p>
      <w:pPr>
        <w:pStyle w:val="ListBullet"/>
      </w:pPr>
      <w:r>
        <w:t>Si en 15 minutos algo no sale, anoten el problema y sigan con lo siguiente: se destraba en la próxima puesta en común.</w:t>
      </w:r>
    </w:p>
    <w:p>
      <w:pPr>
        <w:pStyle w:val="Heading1"/>
      </w:pPr>
      <w:r>
        <w:rPr>
          <w:color w:val="1F5A94"/>
        </w:rPr>
        <w:t>Qué tienen que lograr</w:t>
      </w:r>
    </w:p>
    <w:p>
      <w:pPr>
        <w:pStyle w:val="ListParagraph"/>
      </w:pPr>
      <w:r>
        <w:t>1. Escribir en una línea la decisión del mandato que apoya el escenario. Luego, en la hoja «S10 Supuestos» de GIAD-M4_Plantillas_Proyecto_Integrador_v2.xlsx, desde la fila 8, una fila por parámetro: variable, fuente del valor, unidad, mínimo, centro, máximo y qué se mantiene constante. La fila gris es el ejemplo de Acería Andina.</w:t>
      </w:r>
    </w:p>
    <w:p>
      <w:pPr>
        <w:pStyle w:val="ListParagraph"/>
      </w:pPr>
      <w:r>
        <w:t>2. Crear el parámetro What-if con ese mismo rango y una medida de escenario separada de la medida observada; rotúlenlas distinto («observado» y «escenario»). Usen Número entero, como en la tabla de abajo: con incrementos decimales el deslizador puede no llegar al máximo.</w:t>
      </w:r>
    </w:p>
    <w:p>
      <w:pPr>
        <w:pStyle w:val="ListParagraph"/>
      </w:pPr>
      <w:r>
        <w:t>3. Probar mínimo, centro y máximo, y anotar el resultado de la medida de escenario en la columna H «Resultado mín / centro / máx» de la misma hoja.</w:t>
      </w:r>
    </w:p>
    <w:p>
      <w:pPr>
        <w:pStyle w:val="ListParagraph"/>
      </w:pPr>
      <w:r>
        <w:t>4. Redactar una recomendación condicionada: aprobar, validar o detener, con el umbral que la sostiene y qué evidencia la cambiaría.</w:t>
      </w:r>
    </w:p>
    <w:p>
      <w:pPr>
        <w:pStyle w:val="ListParagraph"/>
      </w:pPr>
      <w:r>
        <w:t>5. Ficha de KPI: con los supuestos del escenario, calculen el impacto económico por unidad de mejora de al menos un KPI y anótenlo en la columna Z «Impacto económico por unidad de mejora» de la hoja «Fichas KPI». Ejemplo de la fila gris: 1 pp de scrap ≈ $5.400 por año, con producción y costo constantes.</w:t>
      </w:r>
    </w:p>
    <w:p>
      <w:pPr>
        <w:pStyle w:val="Heading1"/>
      </w:pPr>
      <w:r>
        <w:t>Datos oficiales: Silver sintético v10</w:t>
      </w:r>
    </w:p>
    <w:p>
      <w:r>
        <w:t>Trabajen sobre la carpeta GIAD-M3_datos_sinteticos_v10_silver: son los datos oficiales del Proyecto Integrador. El documento «GIAD-M4_PowerBI_Modelo_Relaciones_DAX_Seis_Subcasos_v10» trae las tablas, relaciones, medidas y valores de referencia de cada evidencia. Busquen la fila de su subcaso. La tabla traduce la práctica de Acería a cada subcaso: el parámetro, la medida de escenario y los valores que deben ver en mínimo, centro y máximo.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Subcaso</w:t>
            </w:r>
          </w:p>
        </w:tc>
        <w:tc>
          <w:tcPr>
            <w:tcW w:type="dxa" w:w="7257"/>
            <w:shd w:val="clear" w:color="auto" w:fill="1F3A5F"/>
          </w:tcPr>
          <w:p>
            <w:r>
              <w:t>De la práctica a su subcaso: parámetro, medida de escenario y valores para comprobar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01A · AITSA · Gerencia General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Parámetro: </w:t>
            </w:r>
            <w:r>
              <w:rPr>
                <w:b w:val="0"/>
                <w:sz w:val="18"/>
              </w:rPr>
              <w:t>«% Reducción Penalidades», Número entero de 0 a 50, incremento 5, Valor predeterminado 0.</w:t>
            </w:r>
          </w:p>
          <w:p>
            <w:pPr>
              <w:spacing w:after="0"/>
            </w:pPr>
            <w:r>
              <w:rPr>
                <w:b/>
                <w:sz w:val="18"/>
              </w:rPr>
              <w:t xml:space="preserve">Medida: </w:t>
            </w:r>
            <w:r>
              <w:rPr>
                <w:rFonts w:ascii="Consolas" w:hAnsi="Consolas"/>
                <w:b w:val="0"/>
                <w:sz w:val="18"/>
              </w:rPr>
              <w:t>Margen % Después Escenario =</w:t>
            </w:r>
          </w:p>
          <w:p>
            <w:pPr/>
            <w:r>
              <w:rPr>
                <w:rFonts w:ascii="Consolas" w:hAnsi="Consolas"/>
                <w:b w:val="0"/>
                <w:sz w:val="18"/>
              </w:rPr>
              <w:t>DIVIDE ( [Margen Antes (Bs)] - [Penalidad Total (Bs)] * ( 1 - [Valor de % Reducción Penalidades] / 100 ), [Ingreso Real (Bs)] )</w:t>
            </w:r>
          </w:p>
          <w:p>
            <w:pPr/>
            <w:r>
              <w:rPr>
                <w:b/>
                <w:sz w:val="18"/>
              </w:rPr>
              <w:t xml:space="preserve">Compruebe: </w:t>
            </w:r>
            <w:r>
              <w:rPr>
                <w:b w:val="0"/>
                <w:sz w:val="18"/>
              </w:rPr>
              <w:t>0 → 27,58 % (igual al observado) · 25 → 27,69 % · 50 → 27,79 %.</w:t>
            </w:r>
          </w:p>
          <w:p>
            <w:pPr/>
            <w:r>
              <w:rPr>
                <w:b/>
                <w:sz w:val="18"/>
              </w:rPr>
              <w:t xml:space="preserve">Para la recomendación: </w:t>
            </w:r>
            <w:r>
              <w:rPr>
                <w:b w:val="0"/>
                <w:sz w:val="18"/>
              </w:rPr>
              <w:t>todas las penalidades juntas restan 0,41 puntos de margen; reducirlas a la mitad suma 0,21. Un programa para bajarlas se justifica solo si cuesta menos de lo que ahorra.</w:t>
            </w:r>
          </w:p>
          <w:p>
            <w:pPr/>
            <w:r>
              <w:rPr>
                <w:b/>
                <w:sz w:val="18"/>
              </w:rPr>
              <w:t xml:space="preserve">Columna Z: </w:t>
            </w:r>
            <w:r>
              <w:rPr>
                <w:b w:val="0"/>
                <w:sz w:val="18"/>
              </w:rPr>
              <w:t>1 % menos de penalidades ≈ Bs 34.575 en todo el período de los datos.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01B · AITSA · Operaciones y PMO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Parámetro: </w:t>
            </w:r>
            <w:r>
              <w:rPr>
                <w:b w:val="0"/>
                <w:sz w:val="18"/>
              </w:rPr>
              <w:t>«Peso Horas Extra», Número entero de 0 a 30 en centésimas (10 = 0,1), incremento 5, Valor predeterminado 10.</w:t>
            </w:r>
          </w:p>
          <w:p>
            <w:pPr>
              <w:spacing w:after="0"/>
            </w:pPr>
            <w:r>
              <w:rPr>
                <w:b/>
                <w:sz w:val="18"/>
              </w:rPr>
              <w:t xml:space="preserve">Medida: </w:t>
            </w:r>
            <w:r>
              <w:rPr>
                <w:rFonts w:ascii="Consolas" w:hAnsi="Consolas"/>
                <w:b w:val="0"/>
                <w:sz w:val="18"/>
              </w:rPr>
              <w:t>Índice Carga Escenario =</w:t>
            </w:r>
          </w:p>
          <w:p>
            <w:pPr/>
            <w:r>
              <w:rPr>
                <w:rFonts w:ascii="Consolas" w:hAnsi="Consolas"/>
                <w:b w:val="0"/>
                <w:sz w:val="18"/>
              </w:rPr>
              <w:t>[Carga Severidad] + [Horas Extra Total] * [Valor de Peso Horas Extra] / 100 + [Horas Retrabajo Asignadas Total] * 0.2</w:t>
            </w:r>
          </w:p>
          <w:p>
            <w:pPr/>
            <w:r>
              <w:rPr>
                <w:b/>
                <w:sz w:val="18"/>
              </w:rPr>
              <w:t xml:space="preserve">Compruebe </w:t>
            </w:r>
            <w:r>
              <w:rPr>
                <w:b w:val="0"/>
                <w:sz w:val="18"/>
              </w:rPr>
              <w:t>(técnico con mayor índice): 0 → TEC-0064, 184,4 · 10 → TEC-0113, 240,2 (el de referencia) · 30 → TEC-0113, 375,7.</w:t>
            </w:r>
          </w:p>
          <w:p>
            <w:pPr/>
            <w:r>
              <w:rPr>
                <w:b/>
                <w:sz w:val="18"/>
              </w:rPr>
              <w:t xml:space="preserve">Para la recomendación: </w:t>
            </w:r>
            <w:r>
              <w:rPr>
                <w:b w:val="0"/>
                <w:sz w:val="18"/>
              </w:rPr>
              <w:t>el primer lugar cambia con el peso, y el peso es un supuesto. Antes de reasignar técnicos, validen el peso con la jefatura de operaciones.</w:t>
            </w:r>
          </w:p>
          <w:p>
            <w:pPr/>
            <w:r>
              <w:rPr>
                <w:b/>
                <w:sz w:val="18"/>
              </w:rPr>
              <w:t xml:space="preserve">Columna Z: </w:t>
            </w:r>
            <w:r>
              <w:rPr>
                <w:b w:val="0"/>
                <w:sz w:val="18"/>
              </w:rPr>
              <w:t>1 punto menos de incumplimiento SLA ≈ 76 tickets × Bs 2.349 de penalidad promedio ≈ Bs 178.229 en el período.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02A · RedNexo · Estrategia y Finanzas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Parámetro: </w:t>
            </w:r>
            <w:r>
              <w:rPr>
                <w:b w:val="0"/>
                <w:sz w:val="18"/>
              </w:rPr>
              <w:t>«% Ahorro Logrado» (cumple el papel del «% Beneficio» de la práctica), Número entero de 50 a 100, incremento 5, Valor predeterminado 100.</w:t>
            </w:r>
          </w:p>
          <w:p>
            <w:pPr/>
            <w:r>
              <w:rPr>
                <w:b/>
                <w:sz w:val="18"/>
              </w:rPr>
              <w:t xml:space="preserve">Medidas </w:t>
            </w:r>
            <w:r>
              <w:rPr>
                <w:b w:val="0"/>
                <w:sz w:val="18"/>
              </w:rPr>
              <w:t>(con año 2025 y tecnología Cobre, como en la evidencia 3):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sz w:val="18"/>
              </w:rPr>
              <w:t>Flujo Mensual Escenario (Bs) =</w:t>
            </w:r>
          </w:p>
          <w:p>
            <w:pPr/>
            <w:r>
              <w:rPr>
                <w:rFonts w:ascii="Consolas" w:hAnsi="Consolas"/>
                <w:b w:val="0"/>
                <w:sz w:val="18"/>
              </w:rPr>
              <w:t>[Ahorro OPEX Mensual (Bs)] * [Valor de % Ahorro Logrado] / 100 + [Bajas Evitadas Mes] * SELECTEDVALUE ( rednexo_financial_parameters_silver[costo_adquisicion_cliente_bob] )</w:t>
            </w:r>
          </w:p>
          <w:p>
            <w:pPr/>
            <w:r>
              <w:rPr>
                <w:rFonts w:ascii="Consolas" w:hAnsi="Consolas"/>
                <w:b w:val="0"/>
                <w:sz w:val="18"/>
              </w:rPr>
              <w:t>VAN Escenario (Bs) = [Flujo Mensual Escenario (Bs)] * [Factor Anualidad] - [CAPEX Migración (Bs)]</w:t>
            </w:r>
          </w:p>
          <w:p>
            <w:pPr/>
            <w:r>
              <w:rPr>
                <w:rFonts w:ascii="Consolas" w:hAnsi="Consolas"/>
                <w:b w:val="0"/>
                <w:sz w:val="18"/>
              </w:rPr>
              <w:t>Payback Escenario (meses) = DIVIDE ( [CAPEX Migración (Bs)], [Flujo Mensual Escenario (Bs)] )</w:t>
            </w:r>
          </w:p>
          <w:p>
            <w:pPr/>
            <w:r>
              <w:rPr>
                <w:b/>
                <w:sz w:val="18"/>
              </w:rPr>
              <w:t xml:space="preserve">Compruebe </w:t>
            </w:r>
            <w:r>
              <w:rPr>
                <w:b w:val="0"/>
                <w:sz w:val="18"/>
              </w:rPr>
              <w:t>(Cobre): 50 → VAN Bs 33.302.287, payback 8,3 meses · 75 → Bs 53.391.358, 5,5 meses · 100 → Bs 73.480.429, 4,2 meses (los de referencia).</w:t>
            </w:r>
          </w:p>
          <w:p>
            <w:pPr/>
            <w:r>
              <w:rPr>
                <w:b/>
                <w:sz w:val="18"/>
              </w:rPr>
              <w:t xml:space="preserve">Para la recomendación: </w:t>
            </w:r>
            <w:r>
              <w:rPr>
                <w:b w:val="0"/>
                <w:sz w:val="18"/>
              </w:rPr>
              <w:t>el VAN de migrar Cobre sigue positivo aunque se logre solo el 9 % del ahorro previsto: la decisión resiste este supuesto. Prueben también la tasa de descuento de 8 a 16 %: el VAN de Cobre va de Bs 80,7 a 67,3 millones.</w:t>
            </w:r>
          </w:p>
          <w:p>
            <w:pPr/>
            <w:r>
              <w:rPr>
                <w:b/>
                <w:sz w:val="18"/>
              </w:rPr>
              <w:t xml:space="preserve">Columna Z: </w:t>
            </w:r>
            <w:r>
              <w:rPr>
                <w:b w:val="0"/>
                <w:sz w:val="18"/>
              </w:rPr>
              <w:t>cada 1 % de ahorro de OPEX logrado ≈ Bs 17.627 por mes en Cobre.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02B · RedNexo · Tecnología y Operaciones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Parámetro: </w:t>
            </w:r>
            <w:r>
              <w:rPr>
                <w:b w:val="0"/>
                <w:sz w:val="18"/>
              </w:rPr>
              <w:t>«Umbral MTTR» en horas, Número entero de 6 a 10, incremento 1, Valor predeterminado 8 (el umbral de mttr_alto_flag).</w:t>
            </w:r>
          </w:p>
          <w:p>
            <w:pPr>
              <w:spacing w:after="0"/>
            </w:pPr>
            <w:r>
              <w:rPr>
                <w:b/>
                <w:sz w:val="18"/>
              </w:rPr>
              <w:t xml:space="preserve">Medida: </w:t>
            </w:r>
            <w:r>
              <w:rPr>
                <w:rFonts w:ascii="Consolas" w:hAnsi="Consolas"/>
                <w:b w:val="0"/>
                <w:sz w:val="18"/>
              </w:rPr>
              <w:t>% MTTR Alto Escenario =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sz w:val="18"/>
              </w:rPr>
              <w:t>VAR u = [Valor de Umbral MTTR]</w:t>
            </w:r>
          </w:p>
          <w:p>
            <w:pPr/>
            <w:r>
              <w:rPr>
                <w:rFonts w:ascii="Consolas" w:hAnsi="Consolas"/>
                <w:b w:val="0"/>
                <w:sz w:val="18"/>
              </w:rPr>
              <w:t>RETURN DIVIDE ( COUNTROWS ( FILTER ( rednexo_support_log_silver, rednexo_support_log_silver[mttr_horas] &gt; u ) ), [N Tickets] )</w:t>
            </w:r>
          </w:p>
          <w:p>
            <w:pPr/>
            <w:r>
              <w:rPr>
                <w:b/>
                <w:sz w:val="18"/>
              </w:rPr>
              <w:t xml:space="preserve">Compruebe: </w:t>
            </w:r>
            <w:r>
              <w:rPr>
                <w:b w:val="0"/>
                <w:sz w:val="18"/>
              </w:rPr>
              <w:t>6 → 37,6 % · 8 → 16,4 % (igual a % MTTR Alto) · 10 → 6,2 %. En una tabla por cuadrilla, las que pasan de 20 % son 42, 5 y 0.</w:t>
            </w:r>
          </w:p>
          <w:p>
            <w:pPr/>
            <w:r>
              <w:rPr>
                <w:b/>
                <w:sz w:val="18"/>
              </w:rPr>
              <w:t xml:space="preserve">Para la recomendación: </w:t>
            </w:r>
            <w:r>
              <w:rPr>
                <w:b w:val="0"/>
                <w:sz w:val="18"/>
              </w:rPr>
              <w:t>el umbral decide cuántas cuadrillas se priorizan. Fíjenlo con el acuerdo de servicio, no con lo que mejor se vea en el gráfico.</w:t>
            </w:r>
          </w:p>
          <w:p>
            <w:pPr/>
            <w:r>
              <w:rPr>
                <w:b/>
                <w:sz w:val="18"/>
              </w:rPr>
              <w:t xml:space="preserve">Columna Z: </w:t>
            </w:r>
            <w:r>
              <w:rPr>
                <w:b w:val="0"/>
                <w:sz w:val="18"/>
              </w:rPr>
              <w:t>los datos no traen un costo por hora de reparación. Declaren el supuesto en «S10 Supuestos» (por ejemplo, costo por hora de cuadrilla) con su fuente.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03A · AndinaLog · Comercial y Clientes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Parámetro: </w:t>
            </w:r>
            <w:r>
              <w:rPr>
                <w:b w:val="0"/>
                <w:sz w:val="18"/>
              </w:rPr>
              <w:t>«% Reducción Merma», Número entero de 0 a 50, incremento 5, Valor predeterminado 0.</w:t>
            </w:r>
          </w:p>
          <w:p>
            <w:pPr>
              <w:spacing w:after="0"/>
            </w:pPr>
            <w:r>
              <w:rPr>
                <w:b/>
                <w:sz w:val="18"/>
              </w:rPr>
              <w:t xml:space="preserve">Medida: </w:t>
            </w:r>
            <w:r>
              <w:rPr>
                <w:rFonts w:ascii="Consolas" w:hAnsi="Consolas"/>
                <w:b w:val="0"/>
                <w:sz w:val="18"/>
              </w:rPr>
              <w:t>Margen Ajustado % Escenario =</w:t>
            </w:r>
          </w:p>
          <w:p>
            <w:pPr/>
            <w:r>
              <w:rPr>
                <w:rFonts w:ascii="Consolas" w:hAnsi="Consolas"/>
                <w:b w:val="0"/>
                <w:sz w:val="18"/>
              </w:rPr>
              <w:t>DIVIDE ( [Margen Ajustado (Bs)] + [Merma (Bs)] * [Valor de % Reducción Merma] / 100, [Ingreso Bruto (Bs)] )</w:t>
            </w:r>
          </w:p>
          <w:p>
            <w:pPr/>
            <w:r>
              <w:rPr>
                <w:b/>
                <w:sz w:val="18"/>
              </w:rPr>
              <w:t xml:space="preserve">Compruebe: </w:t>
            </w:r>
            <w:r>
              <w:rPr>
                <w:b w:val="0"/>
                <w:sz w:val="18"/>
              </w:rPr>
              <w:t>0 → 19,74 % (el de referencia) · 25 → 21,20 % · 50 → 22,66 %.</w:t>
            </w:r>
          </w:p>
          <w:p>
            <w:pPr/>
            <w:r>
              <w:rPr>
                <w:b/>
                <w:sz w:val="18"/>
              </w:rPr>
              <w:t xml:space="preserve">Para la recomendación: </w:t>
            </w:r>
            <w:r>
              <w:rPr>
                <w:b w:val="0"/>
                <w:sz w:val="18"/>
              </w:rPr>
              <w:t>la merma resta 5,8 puntos de margen; las devoluciones, 0,57. Bajar la merma un 25 % rinde más del doble que eliminar todas las devoluciones.</w:t>
            </w:r>
          </w:p>
          <w:p>
            <w:pPr/>
            <w:r>
              <w:rPr>
                <w:b/>
                <w:sz w:val="18"/>
              </w:rPr>
              <w:t xml:space="preserve">Columna Z: </w:t>
            </w:r>
            <w:r>
              <w:rPr>
                <w:b w:val="0"/>
                <w:sz w:val="18"/>
              </w:rPr>
              <w:t>1 % menos de merma ≈ Bs 355.749 en el período.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03B · AndinaLog · Operaciones y Datos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Parámetro: </w:t>
            </w:r>
            <w:r>
              <w:rPr>
                <w:b w:val="0"/>
                <w:sz w:val="18"/>
              </w:rPr>
              <w:t>«Umbral Variación» en décimas de °C, Número entero de 3 a 8, incremento 1, Valor predeterminado 5 (= 0,5 °C).</w:t>
            </w:r>
          </w:p>
          <w:p>
            <w:pPr/>
            <w:r>
              <w:rPr>
                <w:b/>
                <w:sz w:val="18"/>
              </w:rPr>
              <w:t xml:space="preserve">Medidas </w:t>
            </w:r>
            <w:r>
              <w:rPr>
                <w:b w:val="0"/>
                <w:sz w:val="18"/>
              </w:rPr>
              <w:t>(se leen juntas):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sz w:val="18"/>
              </w:rPr>
              <w:t>Prob. Desviación Escenario =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sz w:val="18"/>
              </w:rPr>
              <w:t>VAR u = [Valor de Umbral Variación] / 10</w:t>
            </w:r>
          </w:p>
          <w:p>
            <w:pPr/>
            <w:r>
              <w:rPr>
                <w:rFonts w:ascii="Consolas" w:hAnsi="Consolas"/>
                <w:b w:val="0"/>
                <w:sz w:val="18"/>
              </w:rPr>
              <w:t>RETURN CALCULATE ( [Prob. Desviación 60 min], andinalog_iot_telemetry_silver[Variación 30 min] &gt; u )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sz w:val="18"/>
              </w:rPr>
              <w:t>Cobertura Escenario =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sz w:val="18"/>
              </w:rPr>
              <w:t>VAR u = [Valor de Umbral Variación] / 10</w:t>
            </w:r>
          </w:p>
          <w:p>
            <w:pPr/>
            <w:r>
              <w:rPr>
                <w:rFonts w:ascii="Consolas" w:hAnsi="Consolas"/>
                <w:b w:val="0"/>
                <w:sz w:val="18"/>
              </w:rPr>
              <w:t>RETURN DIVIDE ( CALCULATE ( SUM ( andinalog_iot_telemetry_silver[desviacion_proximos_60min_flag] ), andinalog_iot_telemetry_silver[Variación 30 min] &gt; u ), SUM ( andinalog_iot_telemetry_silver[desviacion_proximos_60min_flag] ) )</w:t>
            </w:r>
          </w:p>
          <w:p>
            <w:pPr/>
            <w:r>
              <w:rPr>
                <w:b/>
                <w:sz w:val="18"/>
              </w:rPr>
              <w:t xml:space="preserve">Compruebe: </w:t>
            </w:r>
            <w:r>
              <w:rPr>
                <w:b w:val="0"/>
                <w:sz w:val="18"/>
              </w:rPr>
              <w:t>3 → acierta 18,4 % y anticipa 33,6 % de los casos · 5 → 36,7 % y 18,5 % (los de referencia) · 8 → 63,6 % y 7,8 %.</w:t>
            </w:r>
          </w:p>
          <w:p>
            <w:pPr/>
            <w:r>
              <w:rPr>
                <w:b/>
                <w:sz w:val="18"/>
              </w:rPr>
              <w:t xml:space="preserve">Para la recomendación: </w:t>
            </w:r>
            <w:r>
              <w:rPr>
                <w:b w:val="0"/>
                <w:sz w:val="18"/>
              </w:rPr>
              <w:t>un umbral más alto da alertas más certeras pero anticipa menos casos. Elijan según qué cuesta más: una falsa alarma o una desviación que no se vio venir.</w:t>
            </w:r>
          </w:p>
          <w:p>
            <w:pPr/>
            <w:r>
              <w:rPr>
                <w:b/>
                <w:sz w:val="18"/>
              </w:rPr>
              <w:t xml:space="preserve">Columna Z: </w:t>
            </w:r>
            <w:r>
              <w:rPr>
                <w:b w:val="0"/>
                <w:sz w:val="18"/>
              </w:rPr>
              <w:t>1 punto de merma de inventario ≈ Bs 4,83 millones en el período (merma global 7,36 %).</w:t>
            </w:r>
          </w:p>
        </w:tc>
      </w:tr>
    </w:tbl>
    <w:p>
      <w:pPr>
        <w:pStyle w:val="Heading1"/>
      </w:pPr>
      <w:r>
        <w:rPr>
          <w:color w:val="1F5A94"/>
        </w:rPr>
        <w:t>Qué suben a Classroom (hasta las 18:00 del día siguiente)</w:t>
      </w:r>
    </w:p>
    <w:p>
      <w:pPr>
        <w:pStyle w:val="ListBullet"/>
      </w:pPr>
      <w:r>
        <w:t>Una captura de la página con observado y simulado rotulados.</w:t>
      </w:r>
    </w:p>
    <w:p>
      <w:pPr>
        <w:pStyle w:val="ListBullet"/>
      </w:pPr>
      <w:r>
        <w:t>Una línea con la decisión, la recomendación condicionada (aprobar, validar o detener, con el umbral), lo que quedó pendiente y quién se hace cargo.</w:t>
      </w:r>
    </w:p>
    <w:p>
      <w:pPr>
        <w:pStyle w:val="ListBullet"/>
      </w:pPr>
      <w:r>
        <w:t>GIAD-M4_Plantillas_Proyecto_Integrador_v2.xlsx con la hoja «S10 Supuestos» completa y la columna Z de «Fichas KPI» de al menos un KPI.</w:t>
      </w:r>
    </w:p>
    <w:p>
      <w:pPr>
        <w:pStyle w:val="Heading1"/>
      </w:pPr>
      <w:r>
        <w:rPr>
          <w:color w:val="1F5A94"/>
        </w:rPr>
        <w:t>Tiempo sugerido (60 minutos)</w:t>
      </w:r>
    </w:p>
    <w:p>
      <w:pPr>
        <w:pStyle w:val="ListBullet"/>
      </w:pPr>
      <w:r>
        <w:t>10 min · decisión y hoja «S10 Supuestos».</w:t>
      </w:r>
    </w:p>
    <w:p>
      <w:pPr>
        <w:pStyle w:val="ListBullet"/>
      </w:pPr>
      <w:r>
        <w:t>30 min · parámetro, medida y pruebas.</w:t>
      </w:r>
    </w:p>
    <w:p>
      <w:pPr>
        <w:pStyle w:val="ListBullet"/>
      </w:pPr>
      <w:r>
        <w:t>5 min · ficha de KPI: impacto económico.</w:t>
      </w:r>
    </w:p>
    <w:p>
      <w:pPr>
        <w:pStyle w:val="ListBullet"/>
      </w:pPr>
      <w:r>
        <w:t>15 min · recomendación, captura y subida a Classroom.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