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11</w:t>
      </w:r>
    </w:p>
    <w:p>
      <w:r>
        <w:t>Seguridad por filas del subcaso y paquete de PreEntrega. Cierra el gobierno del proyecto y deja listo lo que se presenta en la Sesión 12. Además de la hora de hoy, el equipo dispone de los dos días sin clase (10 horas).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Definir quién ve qué según los roles del subcaso (por ejemplo, gerencia y responsable de zona o centro) y crear la tabla de autorización con Inicio → Introducir datos: nómbrenla usuarios_rls, con las columnas correo, rol y valor_autorizado de la columna sugerida (tabla de abajo). Como dim_usuario_rls en la práctica, la tabla queda sin relaciones y usa correos ficticios (@….example).</w:t>
      </w:r>
    </w:p>
    <w:p>
      <w:pPr>
        <w:pStyle w:val="ListParagraph"/>
      </w:pPr>
      <w:r>
        <w:t>2. Programar la regla dinámica como en la tarea 1 de la práctica (Modelado → Administrar roles, con USERPRINCIPALNAME) y probarla con Modelado → Ver como. Registren cada prueba en la hoja «S11 Pruebas RLS» de la plantilla v2, desde la fila 8: al menos una positiva por rol, una negativa (filas esperadas 0) y un correo sin mapeo (filas esperadas 0). La columna «Resultado» se calcula sola.</w:t>
      </w:r>
    </w:p>
    <w:p>
      <w:pPr>
        <w:pStyle w:val="ListParagraph"/>
      </w:pPr>
      <w:r>
        <w:t>3. Aplicar la lista de comisionamiento de la práctica (datos, modelo, rendimiento, experiencia y seguridad) al proyecto del subcaso y anotar el resultado de cada punto en el informe de pruebas del paquete.</w:t>
      </w:r>
    </w:p>
    <w:p>
      <w:pPr>
        <w:pStyle w:val="ListParagraph"/>
      </w:pPr>
      <w:r>
        <w:t>4. Preparar el paquete de PreEntrega: proyecto .pbip, diccionario, informe de pruebas y presentación de 20 minutos (la PreEntrega dura 30: 20 de exposición, 7 de retroalimentación y 3 para registrar la lista de mejoras).</w:t>
      </w:r>
    </w:p>
    <w:p>
      <w:pPr>
        <w:pStyle w:val="ListParagraph"/>
      </w:pPr>
      <w:r>
        <w:t>5. Ficha de KPI: completen en la hoja «Fichas KPI» de la plantilla v2 las columnas de esta sesión: responsable, acción si está en rojo, quién lo ve (debe coincidir con los roles de la hoja «S11 Pruebas RLS») y perspectiva sugerida. La columna «% completo» debe llegar a 100 % en todos los KPI, así que también deben estar llenas en cada KPI las columnas de sesiones anteriores, incluidas Tipo y KPI relacionados (S09) e Impacto económico (S10): es el catálogo que se presenta en la PreEntrega.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 La tabla indica, para cada subcaso, dónde va la regla, qué medida usar para contar filas y cuántas filas debe ver cada prueba.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>
              <w:t>Columna para la seguridad por filas, medida de conteo y filas esperadas en las pruebas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Columna: </w:t>
            </w:r>
            <w:r>
              <w:rPr>
                <w:b w:val="0"/>
                <w:sz w:val="18"/>
              </w:rPr>
              <w:t>aitsa_clients_silver[sector_industrial] (6 sectores); el filtro baja a proyectos, facturas y tickets.</w:t>
            </w:r>
          </w:p>
          <w:p>
            <w:pPr/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Filas Facturas = COUNTROWS ( aitsa_financial_cashflow_silver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Gerencia 11.878 · Minería 2.231 · Química 1.576 · correo sin mapeo 0.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Columna: </w:t>
            </w:r>
            <w:r>
              <w:rPr>
                <w:b w:val="0"/>
                <w:sz w:val="18"/>
              </w:rPr>
              <w:t>aitsa_facilities_silver[ciudad] (6 ciudades); el filtro llega a los tickets a través de los proyectos.</w:t>
            </w:r>
          </w:p>
          <w:p>
            <w:pPr/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Filas Tickets = COUNTROWS ( aitsa_support_tickets_silver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Gerencia 7.588 · Oruro 1.484 · Cochabamba 905 · correo sin mapeo 0.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Columna: </w:t>
            </w:r>
            <w:r>
              <w:rPr>
                <w:b w:val="0"/>
                <w:sz w:val="18"/>
              </w:rPr>
              <w:t>dim_zona[zona] (7 zonas); el filtro baja por dim_zona_tec y dim_abonado.</w:t>
            </w:r>
          </w:p>
          <w:p>
            <w:pPr/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Filas Abonado-Mes = COUNTROWS ( rednexo_crm_billing_silver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Gerencia 209.847 · Valle Alto 31.012 · Sacaba 30.491 · correo sin mapeo 0.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Columna: </w:t>
            </w:r>
            <w:r>
              <w:rPr>
                <w:b w:val="0"/>
                <w:sz w:val="18"/>
              </w:rPr>
              <w:t>dim_zona[zona] (7) y, aparte, rednexo_cuadrillas_silver[zona], porque dim_zona no filtra cuadrillas: dos reglas con la misma condición.</w:t>
            </w:r>
          </w:p>
          <w:p>
            <w:pPr/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Filas Tickets = COUNTROWS ( rednexo_support_log_silver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Gerencia 12.000 · Sacaba 1.795 tickets y 6 cuadrillas · correo sin mapeo 0.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Columna: </w:t>
            </w:r>
            <w:r>
              <w:rPr>
                <w:b w:val="0"/>
                <w:sz w:val="18"/>
              </w:rPr>
              <w:t>andinalog_clientes_silver[zona_despacho] (6 zonas).</w:t>
            </w:r>
          </w:p>
          <w:p>
            <w:pPr/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Filas Órdenes = COUNTROWS ( andinalog_wms_orders_silver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Gerencia 30.000 · Tarija 6.087 · Santa Cruz 4.332 · correo sin mapeo 0.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pPr/>
            <w:r>
              <w:rPr>
                <w:b/>
                <w:sz w:val="18"/>
              </w:rPr>
              <w:t xml:space="preserve">Columna: </w:t>
            </w:r>
            <w:r>
              <w:rPr>
                <w:b w:val="0"/>
                <w:sz w:val="18"/>
              </w:rPr>
              <w:t>dim_centro[centro] (6 centros); el filtro baja al inventario y, por la flota, a la telemetría.</w:t>
            </w:r>
          </w:p>
          <w:p>
            <w:pPr/>
            <w:r>
              <w:rPr>
                <w:b/>
                <w:sz w:val="18"/>
              </w:rPr>
              <w:t xml:space="preserve">Medida: </w:t>
            </w:r>
            <w:r>
              <w:rPr>
                <w:rFonts w:ascii="Consolas" w:hAnsi="Consolas"/>
                <w:b w:val="0"/>
                <w:sz w:val="18"/>
              </w:rPr>
              <w:t>Filas Lotes = COUNTROWS ( andinalog_inventory_tracking_silver )</w:t>
            </w:r>
          </w:p>
          <w:p>
            <w:pPr/>
            <w:r>
              <w:rPr>
                <w:b/>
                <w:sz w:val="18"/>
              </w:rPr>
              <w:t xml:space="preserve">Compruebe: </w:t>
            </w:r>
            <w:r>
              <w:rPr>
                <w:b w:val="0"/>
                <w:sz w:val="18"/>
              </w:rPr>
              <w:t>Gerencia 7.782 · Tarija 1.572 lotes y 39.609 lecturas · correo sin mapeo 0.</w:t>
            </w:r>
          </w:p>
        </w:tc>
      </w:tr>
    </w:tbl>
    <w:p>
      <w:pPr>
        <w:spacing w:before="160"/>
      </w:pPr>
      <w:r>
        <w:t>Regla de base para la columna de su subcaso (cambie tabla[columna]). La gerencia ve todo; el resto ve solo su valor autorizado:</w:t>
      </w:r>
    </w:p>
    <w:p>
      <w:pPr>
        <w:spacing w:after="0" w:before="0"/>
      </w:pPr>
      <w:r>
        <w:rPr>
          <w:rFonts w:ascii="Consolas" w:hAnsi="Consolas"/>
          <w:sz w:val="18"/>
        </w:rPr>
        <w:t>VAR u = USERPRINCIPALNAME ()</w:t>
      </w:r>
    </w:p>
    <w:p>
      <w:pPr>
        <w:spacing w:after="0" w:before="0"/>
      </w:pPr>
      <w:r>
        <w:rPr>
          <w:rFonts w:ascii="Consolas" w:hAnsi="Consolas"/>
          <w:sz w:val="18"/>
        </w:rPr>
        <w:t>RETURN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LOOKUPVALUE ( usuarios_rls[rol], usuarios_rls[correo], u ) = "Gerencia"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|| tabla[columna] IN CALCULATETABLE ( VALUES ( usuarios_rls[valor_autorizado] ), usuarios_rls[correo] = u )</w:t>
      </w:r>
    </w:p>
    <w:p>
      <w:pPr>
        <w:spacing w:before="120"/>
      </w:pPr>
      <w:r>
        <w:t>Prueba negativa: con el usuario de un valor, filtren otro valor en el informe; deben ver 0 filas (por ejemplo, el usuario de Minería no ve facturas de Química).</w:t>
      </w:r>
    </w:p>
    <w:p>
      <w:pPr>
        <w:pStyle w:val="Heading1"/>
      </w:pPr>
      <w:r>
        <w:rPr>
          <w:color w:val="1F5A94"/>
        </w:rPr>
        <w:t>Qué suben a Classroom</w:t>
      </w:r>
    </w:p>
    <w:p>
      <w:pPr>
        <w:pStyle w:val="ListBullet"/>
      </w:pPr>
      <w:r>
        <w:t>El paquete de PreEntrega completo, antes del inicio de la Sesión 12.</w:t>
      </w:r>
    </w:p>
    <w:p>
      <w:pPr>
        <w:pStyle w:val="ListBullet"/>
      </w:pPr>
      <w:r>
        <w:t>Una línea con lo que quedó pendiente y quién se hace cargo.</w:t>
      </w:r>
    </w:p>
    <w:p>
      <w:pPr>
        <w:pStyle w:val="ListBullet"/>
      </w:pPr>
      <w:r>
        <w:t>GIAD-M4_Plantillas_Proyecto_Integrador_v2.xlsx con la hoja «S11 Pruebas RLS» completa y «Fichas KPI» al 100 % en todos los KPI.</w:t>
      </w:r>
    </w:p>
    <w:p>
      <w:pPr>
        <w:pStyle w:val="Heading1"/>
      </w:pPr>
      <w:r>
        <w:rPr>
          <w:color w:val="1F5A94"/>
        </w:rPr>
        <w:t>Tiempo sugerido (hoy 60 minutos + dos días sin clase)</w:t>
      </w:r>
    </w:p>
    <w:p>
      <w:pPr>
        <w:pStyle w:val="ListBullet"/>
      </w:pPr>
      <w:r>
        <w:t>Hoy (60 min) · tabla de autorización, regla y pruebas en la hoja «S11 Pruebas RLS».</w:t>
      </w:r>
    </w:p>
    <w:p>
      <w:pPr>
        <w:pStyle w:val="ListBullet"/>
      </w:pPr>
      <w:r>
        <w:t>Día 1 sin clase · comisionamiento, correcciones y cierre de la ficha de KPI.</w:t>
      </w:r>
    </w:p>
    <w:p>
      <w:pPr>
        <w:pStyle w:val="ListBullet"/>
      </w:pPr>
      <w:r>
        <w:t>Día 2 sin clase · diccionario, informe de pruebas y ensayo de la presentación.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