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datos sintéticos Módulo 3 versión 10</w:t>
      </w:r>
    </w:p>
    <w:p>
      <w:r>
        <w:rPr>
          <w:b/>
        </w:rPr>
        <w:t>Diseño para evaluación temporal y generalización de seis casos de estudio</w:t>
      </w:r>
    </w:p>
    <w:p>
      <w:r>
        <w:t>Esta versión mantiene la estructura conceptual de la versión 8 y amplía la cobertura temporal, el número de entidades independientes y la definición de los objetivos predictivos. El propósito es que los grupos puedan entrenar modelos simples y comprobar su desempeño en periodos futuros, sin convertir el ejercicio en un problema de programación avanzada.</w:t>
      </w:r>
    </w:p>
    <w:p>
      <w:pPr>
        <w:pStyle w:val="Heading1"/>
      </w:pPr>
      <w:r>
        <w:t>Resumen ejecutivo</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Ecosistema</w:t>
            </w:r>
          </w:p>
        </w:tc>
        <w:tc>
          <w:tcPr>
            <w:tcW w:type="dxa" w:w="367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Escala principal</w:t>
            </w:r>
          </w:p>
        </w:tc>
        <w:tc>
          <w:tcPr>
            <w:tcW w:type="dxa" w:w="15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Cobertura</w:t>
            </w:r>
          </w:p>
        </w:tc>
        <w:tc>
          <w:tcPr>
            <w:tcW w:type="dxa" w:w="302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Objetivos</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AITSA</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1.200 proyectos</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2022-2025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Margen y SLA</w:t>
            </w:r>
          </w:p>
        </w:tc>
      </w:tr>
      <w:tr>
        <w:trPr>
          <w:cantSplit/>
        </w:trPr>
        <w:tc>
          <w:tcPr>
            <w:tcW w:type="dxa" w:w="16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RedNexo</w:t>
            </w:r>
          </w:p>
        </w:tc>
        <w:tc>
          <w:tcPr>
            <w:tcW w:type="dxa" w:w="367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8.000 abonados y 209.847 snapshots</w:t>
            </w:r>
          </w:p>
        </w:tc>
        <w:tc>
          <w:tcPr>
            <w:tcW w:type="dxa" w:w="158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2023-2025</w:t>
            </w:r>
          </w:p>
        </w:tc>
        <w:tc>
          <w:tcPr>
            <w:tcW w:type="dxa" w:w="30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Churn a 90 días y MTTR</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AndinaLog</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30.000 órdenes y 8.000 viajes</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2024-2025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OTIF y desviación térmica</w:t>
            </w:r>
          </w:p>
        </w:tc>
      </w:tr>
    </w:tbl>
    <w:p/>
    <w:p>
      <w:pPr>
        <w:pStyle w:val="Heading1"/>
      </w:pPr>
      <w:r>
        <w:t>Principios de diseño</w:t>
      </w:r>
    </w:p>
    <w:p>
      <w:pPr>
        <w:pStyle w:val="ListBullet"/>
      </w:pPr>
      <w:r>
        <w:t>Más entidades independientes: el crecimiento no proviene de copiar filas.</w:t>
      </w:r>
    </w:p>
    <w:p>
      <w:pPr>
        <w:pStyle w:val="ListBullet"/>
      </w:pPr>
      <w:r>
        <w:t>Historia temporal: los archivos incluyen meses y años suficientes para separar entrenamiento, validación y prueba.</w:t>
      </w:r>
    </w:p>
    <w:p>
      <w:pPr>
        <w:pStyle w:val="ListBullet"/>
      </w:pPr>
      <w:r>
        <w:t>Objetivos observables: RedNexo utiliza churn_90d asociado a una baja futura y no solamente un indicador de riesgo generado por reglas.</w:t>
      </w:r>
    </w:p>
    <w:p>
      <w:pPr>
        <w:pStyle w:val="ListBullet"/>
      </w:pPr>
      <w:r>
        <w:t>Momento de predicción explícito: las variables posteriores al resultado deben excluirse de X.</w:t>
      </w:r>
    </w:p>
    <w:p>
      <w:pPr>
        <w:pStyle w:val="ListBullet"/>
      </w:pPr>
      <w:r>
        <w:t>Bronze auditable: permanecen duplicados, unidades mezcladas, fechas incompatibles, centinelas e identificadores no normalizados.</w:t>
      </w:r>
    </w:p>
    <w:p>
      <w:pPr>
        <w:pStyle w:val="ListBullet"/>
      </w:pPr>
      <w:r>
        <w:t>Silver lista para análisis: incluye tablas sin duplicados ni centinelas, identificadores normalizados, temperaturas en °C y fuentes semiestructuradas convertidas a CSV.</w:t>
      </w:r>
    </w:p>
    <w:p>
      <w:pPr>
        <w:pStyle w:val="ListBullet"/>
      </w:pPr>
      <w:r>
        <w:t>Reproducibilidad: todos los datos se producen con la semilla 202610.</w:t>
      </w:r>
    </w:p>
    <w:p>
      <w:pPr>
        <w:pStyle w:val="Heading1"/>
      </w:pPr>
      <w:r>
        <w:t>Particiones temporales</w:t>
      </w:r>
    </w:p>
    <w:p>
      <w:r>
        <w:t>Los principales archivos de hechos incluyen la columna particion_modelo. Esta columna permite evaluar generalización sin realizar una división aleatoria que mezcle el futuro con el pasado.</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Ecosistema</w:t>
            </w:r>
          </w:p>
        </w:tc>
        <w:tc>
          <w:tcPr>
            <w:tcW w:type="dxa" w:w="266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TRAIN</w:t>
            </w:r>
          </w:p>
        </w:tc>
        <w:tc>
          <w:tcPr>
            <w:tcW w:type="dxa" w:w="266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VALIDATION</w:t>
            </w:r>
          </w:p>
        </w:tc>
        <w:tc>
          <w:tcPr>
            <w:tcW w:type="dxa" w:w="266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TEST</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AITSA</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Hasta junio de 2024</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Julio-diciembre de 2024</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Enero-diciembre de 2025</w:t>
            </w:r>
          </w:p>
        </w:tc>
      </w:tr>
      <w:tr>
        <w:trPr>
          <w:cantSplit/>
        </w:trPr>
        <w:tc>
          <w:tcPr>
            <w:tcW w:type="dxa" w:w="180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RedNexo</w:t>
            </w:r>
          </w:p>
        </w:tc>
        <w:tc>
          <w:tcPr>
            <w:tcW w:type="dxa" w:w="266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Hasta junio de 2024</w:t>
            </w:r>
          </w:p>
        </w:tc>
        <w:tc>
          <w:tcPr>
            <w:tcW w:type="dxa" w:w="266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Julio-diciembre de 2024</w:t>
            </w:r>
          </w:p>
        </w:tc>
        <w:tc>
          <w:tcPr>
            <w:tcW w:type="dxa" w:w="266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Enero-diciembre de 2025</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AndinaLog</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Hasta marzo de 2025</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Abril-junio de 2025</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Julio-diciembre de 2025</w:t>
            </w:r>
          </w:p>
        </w:tc>
      </w:tr>
    </w:tbl>
    <w:p/>
    <w:p>
      <w:pPr>
        <w:pStyle w:val="Heading1"/>
      </w:pPr>
      <w:r>
        <w:t>Contratos mínimos de modelado</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Caso</w:t>
            </w:r>
          </w:p>
        </w:tc>
        <w:tc>
          <w:tcPr>
            <w:tcW w:type="dxa" w:w="194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Modelo</w:t>
            </w:r>
          </w:p>
        </w:tc>
        <w:tc>
          <w:tcPr>
            <w:tcW w:type="dxa" w:w="252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Objetivo</w:t>
            </w:r>
          </w:p>
        </w:tc>
        <w:tc>
          <w:tcPr>
            <w:tcW w:type="dxa" w:w="532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Archivos mínimos</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01A</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Regresión lineal</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margen_post_sla_pct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aitsa_erp_projects_silver.csv; aitsa_financial_cashflow_silver.csv; aitsa_support_tickets_silver.csv</w:t>
            </w:r>
          </w:p>
        </w:tc>
      </w:tr>
      <w:tr>
        <w:trPr>
          <w:cantSplit/>
        </w:trPr>
        <w:tc>
          <w:tcPr>
            <w:tcW w:type="dxa" w:w="79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01B</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Regresión logística</w:t>
            </w:r>
          </w:p>
        </w:tc>
        <w:tc>
          <w:tcPr>
            <w:tcW w:type="dxa" w:w="252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incumplimiento_sla_flag</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aitsa_support_tickets_silver.csv; aitsa_technicians_silver.csv</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02A</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Regresión logística</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churn_90d</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rednexo_crm_billing_silver.csv</w:t>
            </w:r>
          </w:p>
        </w:tc>
      </w:tr>
      <w:tr>
        <w:trPr>
          <w:cantSplit/>
        </w:trPr>
        <w:tc>
          <w:tcPr>
            <w:tcW w:type="dxa" w:w="79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02B</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Regresión lineal</w:t>
            </w:r>
          </w:p>
        </w:tc>
        <w:tc>
          <w:tcPr>
            <w:tcW w:type="dxa" w:w="252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mttr_horas</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rednexo_support_log_silver.csv; rednexo_crm_billing_silver.csv</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03A</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Regresión logística</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otif</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andinalog_wms_orders_silver.csv; andinalog_clientes_silver.csv; andinalog_productos_silver.csv</w:t>
            </w:r>
          </w:p>
        </w:tc>
      </w:tr>
      <w:tr>
        <w:trPr>
          <w:cantSplit/>
        </w:trPr>
        <w:tc>
          <w:tcPr>
            <w:tcW w:type="dxa" w:w="79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03B</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Regresión logística</w:t>
            </w:r>
          </w:p>
        </w:tc>
        <w:tc>
          <w:tcPr>
            <w:tcW w:type="dxa" w:w="252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desviacion_proximos_60min_flag</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andinalog_iot_telemetry_silver.csv</w:t>
            </w:r>
          </w:p>
        </w:tc>
      </w:tr>
    </w:tbl>
    <w:p/>
    <w:p>
      <w:pPr>
        <w:pStyle w:val="Heading1"/>
      </w:pPr>
      <w:r>
        <w:t>Caso 01A AITSA Rentabilidad de proyectos</w:t>
      </w:r>
    </w:p>
    <w:p>
      <w:r>
        <w:t>Modelo mínimo: regresión lineal. Unidad: un proyecto.</w:t>
      </w:r>
    </w:p>
    <w:p>
      <w:pPr>
        <w:pStyle w:val="ListBullet"/>
      </w:pPr>
      <w:r>
        <w:t>Objetivo derivado: margen_post_sla_pct = 100 × (facturación - costo base - penalidades) / facturación.</w:t>
      </w:r>
    </w:p>
    <w:p>
      <w:pPr>
        <w:pStyle w:val="ListBullet"/>
      </w:pPr>
      <w:r>
        <w:t>Archivos: aitsa_erp_projects_silver.csv, aitsa_financial_cashflow_silver.csv y aitsa_support_tickets_silver.csv.</w:t>
      </w:r>
    </w:p>
    <w:p>
      <w:pPr>
        <w:pStyle w:val="ListBullet"/>
      </w:pPr>
      <w:r>
        <w:t>Predictoras: presupuesto, costo base inicial, relación costo/presupuesto, duración planificada y mes de inicio.</w:t>
      </w:r>
    </w:p>
    <w:p>
      <w:pPr>
        <w:pStyle w:val="ListBullet"/>
      </w:pPr>
      <w:r>
        <w:t>Excluir de X: facturación final, penalidades finales, retraso real, retrabajo real y fecha final.</w:t>
      </w:r>
    </w:p>
    <w:p>
      <w:pPr>
        <w:pStyle w:val="Heading1"/>
      </w:pPr>
      <w:r>
        <w:t>Caso 01B AITSA Incumplimiento del SLA</w:t>
      </w:r>
    </w:p>
    <w:p>
      <w:r>
        <w:t>Modelo mínimo: regresión logística. Unidad: un ticket.</w:t>
      </w:r>
    </w:p>
    <w:p>
      <w:pPr>
        <w:pStyle w:val="ListBullet"/>
      </w:pPr>
      <w:r>
        <w:t>Objetivo incluido: incumplimiento_sla_flag.</w:t>
      </w:r>
    </w:p>
    <w:p>
      <w:pPr>
        <w:pStyle w:val="ListBullet"/>
      </w:pPr>
      <w:r>
        <w:t>Archivos: aitsa_support_tickets_silver.csv y aitsa_technicians_silver.csv.</w:t>
      </w:r>
    </w:p>
    <w:p>
      <w:pPr>
        <w:pStyle w:val="ListBullet"/>
      </w:pPr>
      <w:r>
        <w:t>Predictoras: severidad, SLA objetivo, especialidad requerida, certificación requerida y compatibilidad del técnico.</w:t>
      </w:r>
    </w:p>
    <w:p>
      <w:pPr>
        <w:pStyle w:val="ListBullet"/>
      </w:pPr>
      <w:r>
        <w:t>Excluir de X: tiempo de resolución, desvío, penalidad y fecha de cierre.</w:t>
      </w:r>
    </w:p>
    <w:p>
      <w:pPr>
        <w:pStyle w:val="Heading1"/>
      </w:pPr>
      <w:r>
        <w:t>Caso 02A RedNexo Churn a 90 días</w:t>
      </w:r>
    </w:p>
    <w:p>
      <w:r>
        <w:t>Modelo mínimo: regresión logística. Unidad: un abonado en un mes.</w:t>
      </w:r>
    </w:p>
    <w:p>
      <w:pPr>
        <w:pStyle w:val="ListBullet"/>
      </w:pPr>
      <w:r>
        <w:t>Objetivo incluido: churn_90d = 1 si el abonado causa baja durante los siguientes 90 días.</w:t>
      </w:r>
    </w:p>
    <w:p>
      <w:pPr>
        <w:pStyle w:val="ListBullet"/>
      </w:pPr>
      <w:r>
        <w:t>Archivo: rednexo_crm_billing_silver.csv, con 36 snapshots mensuales.</w:t>
      </w:r>
    </w:p>
    <w:p>
      <w:pPr>
        <w:pStyle w:val="ListBullet"/>
      </w:pPr>
      <w:r>
        <w:t>Predictoras: tecnología, zona, consumo, tarifa, reclamos, atraso de pago y antigüedad.</w:t>
      </w:r>
    </w:p>
    <w:p>
      <w:pPr>
        <w:pStyle w:val="ListBullet"/>
      </w:pPr>
      <w:r>
        <w:t>Excluir de X: fecha_baja_servicio, churn_risk, estado futuro y cualquier registro posterior al corte.</w:t>
      </w:r>
    </w:p>
    <w:p>
      <w:pPr>
        <w:pStyle w:val="ListBullet"/>
      </w:pPr>
      <w:r>
        <w:t>Los registros se separan por tiempo. No se debe repartir aleatoriamente los meses de un mismo abonado.</w:t>
      </w:r>
    </w:p>
    <w:p>
      <w:pPr>
        <w:pStyle w:val="Heading1"/>
      </w:pPr>
      <w:r>
        <w:t>Caso 02B RedNexo Tiempo de reparación</w:t>
      </w:r>
    </w:p>
    <w:p>
      <w:r>
        <w:t>Modelo mínimo: regresión lineal. Unidad: un ticket.</w:t>
      </w:r>
    </w:p>
    <w:p>
      <w:pPr>
        <w:pStyle w:val="ListBullet"/>
      </w:pPr>
      <w:r>
        <w:t>Objetivo incluido: mttr_horas.</w:t>
      </w:r>
    </w:p>
    <w:p>
      <w:pPr>
        <w:pStyle w:val="ListBullet"/>
      </w:pPr>
      <w:r>
        <w:t>Archivos: rednexo_support_log_silver.csv y rednexo_crm_billing_silver.csv.</w:t>
      </w:r>
    </w:p>
    <w:p>
      <w:pPr>
        <w:pStyle w:val="ListBullet"/>
      </w:pPr>
      <w:r>
        <w:t>Predictoras: severidad, tecnología, zona, reclamos, hora y día de apertura.</w:t>
      </w:r>
    </w:p>
    <w:p>
      <w:pPr>
        <w:pStyle w:val="ListBullet"/>
      </w:pPr>
      <w:r>
        <w:t>Excluir de X: fecha de cierre y notas agregadas después de resolver el ticket.</w:t>
      </w:r>
    </w:p>
    <w:p>
      <w:r>
        <w:br w:type="page"/>
      </w:r>
    </w:p>
    <w:p>
      <w:pPr>
        <w:pStyle w:val="Heading1"/>
      </w:pPr>
      <w:r>
        <w:t>Caso 03A AndinaLog Cumplimiento OTIF</w:t>
      </w:r>
    </w:p>
    <w:p>
      <w:r>
        <w:t>Modelo mínimo: regresión logística. Unidad: una orden.</w:t>
      </w:r>
    </w:p>
    <w:p>
      <w:pPr>
        <w:pStyle w:val="ListBullet"/>
      </w:pPr>
      <w:r>
        <w:t>Objetivo incluido: otif.</w:t>
      </w:r>
    </w:p>
    <w:p>
      <w:pPr>
        <w:pStyle w:val="ListBullet"/>
      </w:pPr>
      <w:r>
        <w:t>Archivos: andinalog_wms_orders_silver.csv, andinalog_clientes_silver.csv y andinalog_productos_silver.csv.</w:t>
      </w:r>
    </w:p>
    <w:p>
      <w:pPr>
        <w:pStyle w:val="ListBullet"/>
      </w:pPr>
      <w:r>
        <w:t>Predictoras: tipo de cliente, zona, categoría logística, cantidad solicitada, tiempo prometido y centro.</w:t>
      </w:r>
    </w:p>
    <w:p>
      <w:pPr>
        <w:pStyle w:val="ListBullet"/>
      </w:pPr>
      <w:r>
        <w:t>Excluir de X: cantidad entregada, tiempo real, componentes OTIF, satisfacción, queja y devolución de la orden.</w:t>
      </w:r>
    </w:p>
    <w:p>
      <w:pPr>
        <w:pStyle w:val="Heading1"/>
      </w:pPr>
      <w:r>
        <w:t>Caso 03B AndinaLog Desviación térmica futura</w:t>
      </w:r>
    </w:p>
    <w:p>
      <w:r>
        <w:t>Modelo mínimo: regresión logística. Unidad: una lectura de telemetría.</w:t>
      </w:r>
    </w:p>
    <w:p>
      <w:pPr>
        <w:pStyle w:val="ListBullet"/>
      </w:pPr>
      <w:r>
        <w:t>Objetivo incluido: desviacion_proximos_60min_flag.</w:t>
      </w:r>
    </w:p>
    <w:p>
      <w:pPr>
        <w:pStyle w:val="ListBullet"/>
      </w:pPr>
      <w:r>
        <w:t>Archivo mínimo: andinalog_iot_telemetry_silver.csv.</w:t>
      </w:r>
    </w:p>
    <w:p>
      <w:pPr>
        <w:pStyle w:val="ListBullet"/>
      </w:pPr>
      <w:r>
        <w:t>Predictoras: temperatura, humedad, desviación actual, temperatura anterior y variación de 30 minutos.</w:t>
      </w:r>
    </w:p>
    <w:p>
      <w:pPr>
        <w:pStyle w:val="ListBullet"/>
      </w:pPr>
      <w:r>
        <w:t>Calcular rezagos dentro de viaje_id y utilizar solamente lecturas anteriores o actuales.</w:t>
      </w:r>
    </w:p>
    <w:p>
      <w:r>
        <w:br w:type="page"/>
      </w:r>
    </w:p>
    <w:p>
      <w:pPr>
        <w:pStyle w:val="Heading1"/>
      </w:pPr>
      <w:r>
        <w:t>Resultados de validación temporal</w:t>
      </w:r>
    </w:p>
    <w:p>
      <w:r>
        <w:t>Los siguientes resultados se obtuvieron con regresión lineal o logística, utilizando las variables mínimas, los archivos Silver y el periodo TEST. No son metas obligatorias para los estudiantes; sirven para confirmar que los datos contienen señal generalizable sin exigir modelos complejos.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Caso</w:t>
            </w:r>
          </w:p>
        </w:tc>
        <w:tc>
          <w:tcPr>
            <w:tcW w:type="dxa" w:w="15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Tipo</w:t>
            </w:r>
          </w:p>
        </w:tc>
        <w:tc>
          <w:tcPr>
            <w:tcW w:type="dxa" w:w="144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TRAIN</w:t>
            </w:r>
          </w:p>
        </w:tc>
        <w:tc>
          <w:tcPr>
            <w:tcW w:type="dxa" w:w="144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TEST</w:t>
            </w:r>
          </w:p>
        </w:tc>
        <w:tc>
          <w:tcPr>
            <w:tcW w:type="dxa" w:w="460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Resultado temporal</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01A</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Regresion</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809</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208</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MAE 2.237 | RMSE 2.734 | R² 0.84</w:t>
            </w:r>
          </w:p>
        </w:tc>
      </w:tr>
      <w:tr>
        <w:trPr>
          <w:cantSplit/>
        </w:trPr>
        <w:tc>
          <w:tcPr>
            <w:tcW w:type="dxa" w:w="79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01B</w:t>
            </w:r>
          </w:p>
        </w:tc>
        <w:tc>
          <w:tcPr>
            <w:tcW w:type="dxa" w:w="15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Clasificacion</w:t>
            </w:r>
          </w:p>
        </w:tc>
        <w:tc>
          <w:tcPr>
            <w:tcW w:type="dxa" w:w="14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4.748</w:t>
            </w:r>
          </w:p>
        </w:tc>
        <w:tc>
          <w:tcPr>
            <w:tcW w:type="dxa" w:w="14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1.804</w:t>
            </w:r>
          </w:p>
        </w:tc>
        <w:tc>
          <w:tcPr>
            <w:tcW w:type="dxa" w:w="460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ROC-AUC 0.955 | PR-AUC 0.836 | F1 0.749</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02A</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Clasificacion</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120.992</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56.544</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ROC-AUC 0.699 | PR-AUC 0.111 | F1 0.155</w:t>
            </w:r>
          </w:p>
        </w:tc>
      </w:tr>
      <w:tr>
        <w:trPr>
          <w:cantSplit/>
        </w:trPr>
        <w:tc>
          <w:tcPr>
            <w:tcW w:type="dxa" w:w="79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02B</w:t>
            </w:r>
          </w:p>
        </w:tc>
        <w:tc>
          <w:tcPr>
            <w:tcW w:type="dxa" w:w="15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Regresion</w:t>
            </w:r>
          </w:p>
        </w:tc>
        <w:tc>
          <w:tcPr>
            <w:tcW w:type="dxa" w:w="14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6.846</w:t>
            </w:r>
          </w:p>
        </w:tc>
        <w:tc>
          <w:tcPr>
            <w:tcW w:type="dxa" w:w="14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3.258</w:t>
            </w:r>
          </w:p>
        </w:tc>
        <w:tc>
          <w:tcPr>
            <w:tcW w:type="dxa" w:w="460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MAE 1.378 | RMSE 1.782 | R² 0.52</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03A</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Clasificacion</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18.558</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7.685</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ROC-AUC 0.674 | PR-AUC 0.902 | F1 0.72</w:t>
            </w:r>
          </w:p>
        </w:tc>
      </w:tr>
      <w:tr>
        <w:trPr>
          <w:cantSplit/>
        </w:trPr>
        <w:tc>
          <w:tcPr>
            <w:tcW w:type="dxa" w:w="79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03B</w:t>
            </w:r>
          </w:p>
        </w:tc>
        <w:tc>
          <w:tcPr>
            <w:tcW w:type="dxa" w:w="15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Clasificacion</w:t>
            </w:r>
          </w:p>
        </w:tc>
        <w:tc>
          <w:tcPr>
            <w:tcW w:type="dxa" w:w="14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119.771</w:t>
            </w:r>
          </w:p>
        </w:tc>
        <w:tc>
          <w:tcPr>
            <w:tcW w:type="dxa" w:w="144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47.955</w:t>
            </w:r>
          </w:p>
        </w:tc>
        <w:tc>
          <w:tcPr>
            <w:tcW w:type="dxa" w:w="460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ROC-AUC 0.959 | PR-AUC 0.858 | F1 0.817</w:t>
            </w:r>
          </w:p>
        </w:tc>
      </w:tr>
    </w:tbl>
    <w:p/>
    <w:p>
      <w:pPr>
        <w:pStyle w:val="Heading2"/>
      </w:pPr>
      <w:r>
        <w:t>Interpretación de las métricas</w:t>
      </w:r>
    </w:p>
    <w:p>
      <w:pPr>
        <w:pStyle w:val="ListBullet"/>
      </w:pPr>
      <w:r>
        <w:t>01A y 01B contienen relaciones claras para enseñar interpretación de coeficientes y probabilidad.</w:t>
      </w:r>
    </w:p>
    <w:p>
      <w:pPr>
        <w:pStyle w:val="ListBullet"/>
      </w:pPr>
      <w:r>
        <w:t>02A es deliberadamente más difícil: el churn es infrecuente y PR-AUC es más informativa que accuracy.</w:t>
      </w:r>
    </w:p>
    <w:p>
      <w:pPr>
        <w:pStyle w:val="ListBullet"/>
      </w:pPr>
      <w:r>
        <w:t>02B permite comparar el error en horas con la utilidad operativa de la predicción.</w:t>
      </w:r>
    </w:p>
    <w:p>
      <w:pPr>
        <w:pStyle w:val="ListBullet"/>
      </w:pPr>
      <w:r>
        <w:t>03A presenta señal moderada: el modelo ayuda a priorizar, pero no determina por sí solo el resultado OTIF.</w:t>
      </w:r>
    </w:p>
    <w:p>
      <w:pPr>
        <w:pStyle w:val="ListBullet"/>
      </w:pPr>
      <w:r>
        <w:t>03B conserva una clase poco frecuente y permite estudiar recall, precision y falsas alarmas.</w:t>
      </w:r>
    </w:p>
    <w:p>
      <w:pPr>
        <w:pStyle w:val="Heading1"/>
      </w:pPr>
      <w:r>
        <w:t>Controles de calidad e integridad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Ecosistema</w:t>
            </w:r>
          </w:p>
        </w:tc>
        <w:tc>
          <w:tcPr>
            <w:tcW w:type="dxa" w:w="475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Relaciones revisadas</w:t>
            </w:r>
          </w:p>
        </w:tc>
        <w:tc>
          <w:tcPr>
            <w:tcW w:type="dxa" w:w="345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Resultado</w:t>
            </w:r>
          </w:p>
        </w:tc>
      </w:tr>
      <w:tr>
        <w:trPr>
          <w:cantSplit/>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AITSA</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Proyectos, clientes, instalaciones, tickets, facturación y RR. HH.</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Cobertura 100% después de normalizar identificadores</w:t>
            </w:r>
          </w:p>
        </w:tc>
      </w:tr>
      <w:tr>
        <w:trPr>
          <w:cantSplit/>
        </w:trPr>
        <w:tc>
          <w:tcPr>
            <w:tcW w:type="dxa" w:w="158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RedNexo</w:t>
            </w:r>
          </w:p>
        </w:tc>
        <w:tc>
          <w:tcPr>
            <w:tcW w:type="dxa" w:w="475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Abonados, tickets, nodos, telemetría y OPEX</w:t>
            </w:r>
          </w:p>
        </w:tc>
        <w:tc>
          <w:tcPr>
            <w:tcW w:type="dxa" w:w="34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Cobertura 100% después de normalizar identificadores</w:t>
            </w:r>
          </w:p>
        </w:tc>
      </w:tr>
      <w:tr>
        <w:trPr>
          <w:cantSplit/>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AndinaLog</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Órdenes, clientes, productos, flota, choferes, lotes y telemetría</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Cobertura 100% después de normalizar identificadores</w:t>
            </w:r>
          </w:p>
        </w:tc>
      </w:tr>
    </w:tbl>
    <w:p/>
    <w:p>
      <w:r>
        <w:t>La existencia de cobertura lógica no elimina los problemas Bronze. Los cruces directos pueden fallar antes de aplicar trim, mayúsculas y normalización de categorías. Los duplicados exactos deben enviarse a cuarentena o retirarse de la tabla de modelado conservando evidencia. La carpeta Silver ya incorpora estas correcciones y documenta los cambios en GIAD-M3_v10_auditoria_bronze_silver.csv.</w:t>
      </w:r>
    </w:p>
    <w:p>
      <w:pPr>
        <w:pStyle w:val="Heading1"/>
      </w:pPr>
      <w:r>
        <w:t>Resumen de la conversión Bronze a Silver</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80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Ecosistema</w:t>
            </w:r>
          </w:p>
        </w:tc>
        <w:tc>
          <w:tcPr>
            <w:tcW w:type="dxa" w:w="108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Fuentes</w:t>
            </w:r>
          </w:p>
        </w:tc>
        <w:tc>
          <w:tcPr>
            <w:tcW w:type="dxa" w:w="165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Filas B</w:t>
            </w:r>
          </w:p>
        </w:tc>
        <w:tc>
          <w:tcPr>
            <w:tcW w:type="dxa" w:w="165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Filas S</w:t>
            </w:r>
          </w:p>
        </w:tc>
        <w:tc>
          <w:tcPr>
            <w:tcW w:type="dxa" w:w="1512"/>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Duplicados</w:t>
            </w:r>
          </w:p>
        </w:tc>
        <w:tc>
          <w:tcPr>
            <w:tcW w:type="dxa" w:w="129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F→C</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AITSA</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10</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111.730</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111.409</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321</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3.009</w:t>
            </w:r>
          </w:p>
        </w:tc>
      </w:tr>
      <w:tr>
        <w:trPr>
          <w:cantSplit/>
        </w:trPr>
        <w:tc>
          <w:tcPr>
            <w:tcW w:type="dxa" w:w="180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AndinaLog</w:t>
            </w:r>
          </w:p>
        </w:tc>
        <w:tc>
          <w:tcPr>
            <w:tcW w:type="dxa" w:w="1080"/>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12</w:t>
            </w:r>
          </w:p>
        </w:tc>
        <w:tc>
          <w:tcPr>
            <w:tcW w:type="dxa" w:w="16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264.642</w:t>
            </w:r>
          </w:p>
        </w:tc>
        <w:tc>
          <w:tcPr>
            <w:tcW w:type="dxa" w:w="16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263.863</w:t>
            </w:r>
          </w:p>
        </w:tc>
        <w:tc>
          <w:tcPr>
            <w:tcW w:type="dxa" w:w="15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779</w:t>
            </w:r>
          </w:p>
        </w:tc>
        <w:tc>
          <w:tcPr>
            <w:tcW w:type="dxa" w:w="129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6.709</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RedNexo</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11</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259.337</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258.587</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750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sz w:val="17"/>
              </w:rPr>
              <w:t>0</w:t>
            </w:r>
          </w:p>
        </w:tc>
      </w:tr>
    </w:tbl>
    <w:p/>
    <w:p>
      <w:r>
        <w:t>La correspondencia completa de las 33 fuentes, sus nombres Silver y los controles por archivo se encuentra en GIAD-M3_v10_auditoria_bronze_silver.csv.</w:t>
      </w:r>
    </w:p>
    <w:p>
      <w:pPr>
        <w:pStyle w:val="Heading1"/>
      </w:pPr>
      <w:r>
        <w:t>Secuencia recomendada para los notebooks</w:t>
      </w:r>
    </w:p>
    <w:p>
      <w:pPr>
        <w:pStyle w:val="ListBullet"/>
      </w:pPr>
      <w:r>
        <w:t>Cargar únicamente los dos o tres archivos Silver del contrato mínimo del caso.</w:t>
      </w:r>
    </w:p>
    <w:p>
      <w:pPr>
        <w:pStyle w:val="ListBullet"/>
      </w:pPr>
      <w:r>
        <w:t>Revisar la auditoría Bronze→Silver para comprender qué problemas fueron corregidos.</w:t>
      </w:r>
    </w:p>
    <w:p>
      <w:pPr>
        <w:pStyle w:val="ListBullet"/>
      </w:pPr>
      <w:r>
        <w:t>Construir una tabla de modelado con la unidad de observación correcta.</w:t>
      </w:r>
    </w:p>
    <w:p>
      <w:pPr>
        <w:pStyle w:val="ListBullet"/>
      </w:pPr>
      <w:r>
        <w:t>Realizar cinco gráficos EDA con preguntas interpretativas.</w:t>
      </w:r>
    </w:p>
    <w:p>
      <w:pPr>
        <w:pStyle w:val="ListBullet"/>
      </w:pPr>
      <w:r>
        <w:t>Separar TRAIN, VALIDATION y TEST con la columna incluida.</w:t>
      </w:r>
    </w:p>
    <w:p>
      <w:pPr>
        <w:pStyle w:val="ListBullet"/>
      </w:pPr>
      <w:r>
        <w:t>Entrenar regresión lineal o logística con código proporcionado.</w:t>
      </w:r>
    </w:p>
    <w:p>
      <w:pPr>
        <w:pStyle w:val="ListBullet"/>
      </w:pPr>
      <w:r>
        <w:t>Interpretar métricas, errores por segmento y limitaciones.</w:t>
      </w:r>
    </w:p>
    <w:p>
      <w:pPr>
        <w:pStyle w:val="Heading1"/>
      </w:pPr>
      <w:r>
        <w:t>Limitaciones</w:t>
      </w:r>
    </w:p>
    <w:p>
      <w:r>
        <w:t>Los datos son sintéticos y sirven para aprendizaje. Una métrica alta demuestra que el generador contiene relaciones recuperables, no que el mismo desempeño se obtendrá en una empresa real. Las decisiones finales deben considerar costos, capacidad operativa, causalidad y validación con datos observados.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GIAD M3 | Datos sintéticos v10 | Uso académico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