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
    <w:p/>
    <w:p/>
    <w:p>
      <w:pPr>
        <w:jc w:val="center"/>
      </w:pPr>
      <w:r>
        <w:rPr>
          <w:b/>
          <w:i w:val="0"/>
          <w:color w:val="2F7D4F"/>
          <w:sz w:val="22"/>
        </w:rPr>
        <w:t>GIAD — Diplomado en Gestión Industrial y Analítica de Datos</w:t>
      </w:r>
    </w:p>
    <w:p>
      <w:pPr>
        <w:jc w:val="center"/>
      </w:pPr>
      <w:r>
        <w:rPr>
          <w:b w:val="0"/>
          <w:i w:val="0"/>
          <w:color w:val="555555"/>
          <w:sz w:val="24"/>
        </w:rPr>
        <w:t>Módulo 4 — Proyecto Integrador · Power BI</w:t>
      </w:r>
    </w:p>
    <w:p/>
    <w:p>
      <w:pPr>
        <w:jc w:val="center"/>
      </w:pPr>
      <w:r>
        <w:rPr>
          <w:b/>
          <w:i w:val="0"/>
          <w:color w:val="20603D"/>
          <w:sz w:val="40"/>
        </w:rPr>
        <w:t>Modelo de Datos, Relaciones y Medidas DAX</w:t>
      </w:r>
    </w:p>
    <w:p>
      <w:pPr>
        <w:jc w:val="center"/>
      </w:pPr>
      <w:r>
        <w:rPr>
          <w:b/>
          <w:i w:val="0"/>
          <w:color w:val="2F7D4F"/>
          <w:sz w:val="26"/>
        </w:rPr>
        <w:t>por Evidencia — Los Seis Subcasos (01A · 01B · 02A · 02B · 03A · 03B)</w:t>
      </w:r>
    </w:p>
    <w:p/>
    <w:p>
      <w:pPr>
        <w:jc w:val="center"/>
      </w:pPr>
      <w:r>
        <w:rPr>
          <w:b w:val="0"/>
          <w:i w:val="0"/>
          <w:color w:val="666666"/>
          <w:sz w:val="22"/>
        </w:rPr>
        <w:t>Casos 01 AITSA · 02 RedNexo · 03 AndinaLog  —  Datos sintéticos v10 (Silver) · datos oficiales</w:t>
      </w:r>
    </w:p>
    <w:p>
      <w:pPr>
        <w:jc w:val="center"/>
      </w:pPr>
      <w:r>
        <w:rPr>
          <w:b w:val="0"/>
          <w:i w:val="0"/>
          <w:color w:val="808080"/>
          <w:sz w:val="20"/>
        </w:rPr>
        <w:t>Guía técnica de apoyo — Septiembre 2026 · Reemplaza a la versión v9</w:t>
      </w:r>
    </w:p>
    <w:p>
      <w:r>
        <w:br w:type="page"/>
      </w:r>
    </w:p>
    <w:p>
      <w:pPr>
        <w:pStyle w:val="Heading1"/>
      </w:pPr>
      <w:r>
        <w:t>Propósito y alcance</w:t>
      </w:r>
    </w:p>
    <w:p>
      <w:r>
        <w:rPr>
          <w:b w:val="0"/>
        </w:rPr>
        <w:t>Este documento resuelve en Power BI las 18 evidencias de los seis subcasos del Proyecto Integrador, con los datos sintéticos Silver versión 10 como datos oficiales. Es autocontenido: repite mandato, tablas, relaciones y evidencias de cada subcaso. Reemplaza a las versiones v7, v8 y v9 de este documento.</w:t>
      </w:r>
    </w:p>
    <w:p>
      <w:r>
        <w:rPr>
          <w:b w:val="0"/>
        </w:rPr>
        <w:t>Novedad de esta versión: cada evidencia trae una tabla de «valores de referencia» calculados con Python sobre los mismos archivos Silver v10. Sirven para que el equipo compruebe su modelo: si una medida DAX no reproduce el valor de referencia en el contexto indicado, hay un error de relación, de tipo de dato o de fórmula.</w:t>
      </w:r>
    </w:p>
    <w:p>
      <w:r>
        <w:rPr>
          <w:b w:val="0"/>
        </w:rPr>
        <w:t>Advertencia de alcance: los valores de referencia se ejecutaron y verificaron con pandas sobre los CSV Silver v10. Las medidas DAX siguen patrones estándar de Power BI, pero no se ejecutaron en Power BI Desktop en este entorno. Compruebe cada medida contra su valor de referencia al construir el modelo.</w:t>
      </w:r>
    </w:p>
    <w:p>
      <w:pPr>
        <w:pStyle w:val="Heading2"/>
      </w:pPr>
      <w:r>
        <w:t>Qué cambió de v9 a v10</w:t>
      </w:r>
    </w:p>
    <w:p>
      <w:r>
        <w:rPr>
          <w:b w:val="0"/>
          <w:i w:val="0"/>
        </w:rPr>
        <w:t>Los cambios de la versión 10 de los datos obligan a ajustar el modelo. La tabla resume cada cambio y su efecto en Power BI.</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1701"/>
        <w:gridCol w:w="2041"/>
        <w:gridCol w:w="2608"/>
        <w:gridCol w:w="3288"/>
      </w:tblGrid>
      <w:tr>
        <w:trPr>
          <w:cantSplit/>
          <w:tblHeader/>
        </w:trPr>
        <w:tc>
          <w:tcPr>
            <w:tcW w:type="dxa" w:w="1701"/>
            <w:shd w:val="clear" w:color="auto" w:fill="DCEEE2"/>
          </w:tcPr>
          <w:p>
            <w:r/>
            <w:r>
              <w:rPr>
                <w:b/>
                <w:color w:val="20603D"/>
                <w:sz w:val="17"/>
              </w:rPr>
              <w:t>Tema</w:t>
            </w:r>
          </w:p>
        </w:tc>
        <w:tc>
          <w:tcPr>
            <w:tcW w:type="dxa" w:w="2041"/>
            <w:shd w:val="clear" w:color="auto" w:fill="DCEEE2"/>
          </w:tcPr>
          <w:p>
            <w:r/>
            <w:r>
              <w:rPr>
                <w:b/>
                <w:color w:val="20603D"/>
                <w:sz w:val="17"/>
              </w:rPr>
              <w:t>v9</w:t>
            </w:r>
          </w:p>
        </w:tc>
        <w:tc>
          <w:tcPr>
            <w:tcW w:type="dxa" w:w="2608"/>
            <w:shd w:val="clear" w:color="auto" w:fill="DCEEE2"/>
          </w:tcPr>
          <w:p>
            <w:r/>
            <w:r>
              <w:rPr>
                <w:b/>
                <w:color w:val="20603D"/>
                <w:sz w:val="17"/>
              </w:rPr>
              <w:t>v10</w:t>
            </w:r>
          </w:p>
        </w:tc>
        <w:tc>
          <w:tcPr>
            <w:tcW w:type="dxa" w:w="3288"/>
            <w:shd w:val="clear" w:color="auto" w:fill="DCEEE2"/>
          </w:tcPr>
          <w:p>
            <w:r/>
            <w:r>
              <w:rPr>
                <w:b/>
                <w:color w:val="20603D"/>
                <w:sz w:val="17"/>
              </w:rPr>
              <w:t>Impacto en el modelo</w:t>
            </w:r>
          </w:p>
        </w:tc>
      </w:tr>
      <w:tr>
        <w:trPr>
          <w:cantSplit/>
        </w:trPr>
        <w:tc>
          <w:tcPr>
            <w:tcW w:type="dxa" w:w="1701"/>
          </w:tcPr>
          <w:p>
            <w:r/>
            <w:r>
              <w:rPr>
                <w:sz w:val="17"/>
              </w:rPr>
              <w:t>Cobertura temporal</w:t>
            </w:r>
          </w:p>
        </w:tc>
        <w:tc>
          <w:tcPr>
            <w:tcW w:type="dxa" w:w="2041"/>
          </w:tcPr>
          <w:p>
            <w:r/>
            <w:r>
              <w:rPr>
                <w:sz w:val="17"/>
              </w:rPr>
              <w:t>Periodos cortos</w:t>
            </w:r>
          </w:p>
        </w:tc>
        <w:tc>
          <w:tcPr>
            <w:tcW w:type="dxa" w:w="2608"/>
          </w:tcPr>
          <w:p>
            <w:r/>
            <w:r>
              <w:rPr>
                <w:sz w:val="17"/>
              </w:rPr>
              <w:t>AITSA 2022–2026 · RedNexo 2023–2025 (altas desde 2017) · AndinaLog 2023–2026 (161 lotes ingresan a fines de 2023)</w:t>
            </w:r>
          </w:p>
        </w:tc>
        <w:tc>
          <w:tcPr>
            <w:tcW w:type="dxa" w:w="3288"/>
          </w:tcPr>
          <w:p>
            <w:r/>
            <w:r>
              <w:rPr>
                <w:sz w:val="17"/>
              </w:rPr>
              <w:t>Una dim_fecha por ecosistema con el rango indicado en la sección de preparación.</w:t>
            </w:r>
          </w:p>
        </w:tc>
      </w:tr>
      <w:tr>
        <w:trPr>
          <w:cantSplit/>
        </w:trPr>
        <w:tc>
          <w:tcPr>
            <w:tcW w:type="dxa" w:w="1701"/>
          </w:tcPr>
          <w:p>
            <w:r/>
            <w:r>
              <w:rPr>
                <w:sz w:val="17"/>
              </w:rPr>
              <w:t>rednexo_crm_billing</w:t>
            </w:r>
          </w:p>
        </w:tc>
        <w:tc>
          <w:tcPr>
            <w:tcW w:type="dxa" w:w="2041"/>
          </w:tcPr>
          <w:p>
            <w:r/>
            <w:r>
              <w:rPr>
                <w:sz w:val="17"/>
              </w:rPr>
              <w:t>1 fila por abonado</w:t>
            </w:r>
          </w:p>
        </w:tc>
        <w:tc>
          <w:tcPr>
            <w:tcW w:type="dxa" w:w="2608"/>
          </w:tcPr>
          <w:p>
            <w:r/>
            <w:r>
              <w:rPr>
                <w:sz w:val="17"/>
              </w:rPr>
              <w:t>1 fila por abonado y mes: 209.847 filas, 8.000 abonados, 36 meses</w:t>
            </w:r>
          </w:p>
        </w:tc>
        <w:tc>
          <w:tcPr>
            <w:tcW w:type="dxa" w:w="3288"/>
          </w:tcPr>
          <w:p>
            <w:r/>
            <w:r>
              <w:rPr>
                <w:sz w:val="17"/>
              </w:rPr>
              <w:t>Deja de ser dimensión. Se crea dim_abonado; contar abonados con DISTINCTCOUNT.</w:t>
            </w:r>
          </w:p>
        </w:tc>
      </w:tr>
      <w:tr>
        <w:trPr>
          <w:cantSplit/>
        </w:trPr>
        <w:tc>
          <w:tcPr>
            <w:tcW w:type="dxa" w:w="1701"/>
          </w:tcPr>
          <w:p>
            <w:r/>
            <w:r>
              <w:rPr>
                <w:sz w:val="17"/>
              </w:rPr>
              <w:t>Clave zona × tecnología</w:t>
            </w:r>
          </w:p>
        </w:tc>
        <w:tc>
          <w:tcPr>
            <w:tcW w:type="dxa" w:w="2041"/>
          </w:tcPr>
          <w:p>
            <w:r/>
            <w:r>
              <w:rPr>
                <w:sz w:val="17"/>
              </w:rPr>
              <w:t>dim_zona de 7 filas</w:t>
            </w:r>
          </w:p>
        </w:tc>
        <w:tc>
          <w:tcPr>
            <w:tcW w:type="dxa" w:w="2608"/>
          </w:tcPr>
          <w:p>
            <w:r/>
            <w:r>
              <w:rPr>
                <w:sz w:val="17"/>
              </w:rPr>
              <w:t>CAPEX (21), OPEX por nodo-mes (4.536), nodos (126) y abonados comparten zona y tecnología</w:t>
            </w:r>
          </w:p>
        </w:tc>
        <w:tc>
          <w:tcPr>
            <w:tcW w:type="dxa" w:w="3288"/>
          </w:tcPr>
          <w:p>
            <w:r/>
            <w:r>
              <w:rPr>
                <w:sz w:val="17"/>
              </w:rPr>
              <w:t>Nueva dimensión dim_zona_tec (21 filas) debajo de dim_zona (7).</w:t>
            </w:r>
          </w:p>
        </w:tc>
      </w:tr>
      <w:tr>
        <w:trPr>
          <w:cantSplit/>
        </w:trPr>
        <w:tc>
          <w:tcPr>
            <w:tcW w:type="dxa" w:w="1701"/>
          </w:tcPr>
          <w:p>
            <w:r/>
            <w:r>
              <w:rPr>
                <w:sz w:val="17"/>
              </w:rPr>
              <w:t>rednexo_nodos</w:t>
            </w:r>
          </w:p>
        </w:tc>
        <w:tc>
          <w:tcPr>
            <w:tcW w:type="dxa" w:w="2041"/>
          </w:tcPr>
          <w:p>
            <w:r/>
            <w:r>
              <w:rPr>
                <w:sz w:val="17"/>
              </w:rPr>
              <w:t>30 nodos</w:t>
            </w:r>
          </w:p>
        </w:tc>
        <w:tc>
          <w:tcPr>
            <w:tcW w:type="dxa" w:w="2608"/>
          </w:tcPr>
          <w:p>
            <w:r/>
            <w:r>
              <w:rPr>
                <w:sz w:val="17"/>
              </w:rPr>
              <w:t>126 nodos, 42 por tecnología, 7 zonas</w:t>
            </w:r>
          </w:p>
        </w:tc>
        <w:tc>
          <w:tcPr>
            <w:tcW w:type="dxa" w:w="3288"/>
          </w:tcPr>
          <w:p>
            <w:r/>
            <w:r>
              <w:rPr>
                <w:sz w:val="17"/>
              </w:rPr>
              <w:t>La zona Sacaba ya está completa.</w:t>
            </w:r>
          </w:p>
        </w:tc>
      </w:tr>
      <w:tr>
        <w:trPr>
          <w:cantSplit/>
        </w:trPr>
        <w:tc>
          <w:tcPr>
            <w:tcW w:type="dxa" w:w="1701"/>
          </w:tcPr>
          <w:p>
            <w:r/>
            <w:r>
              <w:rPr>
                <w:sz w:val="17"/>
              </w:rPr>
              <w:t>rednexo_cuadrillas / hr_schedules</w:t>
            </w:r>
          </w:p>
        </w:tc>
        <w:tc>
          <w:tcPr>
            <w:tcW w:type="dxa" w:w="2041"/>
          </w:tcPr>
          <w:p>
            <w:r/>
            <w:r>
              <w:rPr>
                <w:sz w:val="17"/>
              </w:rPr>
              <w:t>20 cuadrillas · 1.000 filas</w:t>
            </w:r>
          </w:p>
        </w:tc>
        <w:tc>
          <w:tcPr>
            <w:tcW w:type="dxa" w:w="2608"/>
          </w:tcPr>
          <w:p>
            <w:r/>
            <w:r>
              <w:rPr>
                <w:sz w:val="17"/>
              </w:rPr>
              <w:t>42 cuadrillas · 215 técnicos · 7.740 filas técnico-mes</w:t>
            </w:r>
          </w:p>
        </w:tc>
        <w:tc>
          <w:tcPr>
            <w:tcW w:type="dxa" w:w="3288"/>
          </w:tcPr>
          <w:p>
            <w:r/>
            <w:r>
              <w:rPr>
                <w:sz w:val="17"/>
              </w:rPr>
              <w:t>La experiencia es numérica (años); ya no se usa SWITCH por texto. Pero cambia al azar de un mes a otro para el mismo técnico (rango de 13 a 15 años): no es experiencia acumulada.</w:t>
            </w:r>
          </w:p>
        </w:tc>
      </w:tr>
      <w:tr>
        <w:trPr>
          <w:cantSplit/>
        </w:trPr>
        <w:tc>
          <w:tcPr>
            <w:tcW w:type="dxa" w:w="1701"/>
          </w:tcPr>
          <w:p>
            <w:r/>
            <w:r>
              <w:rPr>
                <w:sz w:val="17"/>
              </w:rPr>
              <w:t>Certificación AITSA</w:t>
            </w:r>
          </w:p>
        </w:tc>
        <w:tc>
          <w:tcPr>
            <w:tcW w:type="dxa" w:w="2041"/>
          </w:tcPr>
          <w:p>
            <w:r/>
            <w:r>
              <w:rPr>
                <w:sz w:val="17"/>
              </w:rPr>
              <w:t>Junior / Intermedio / Senior</w:t>
            </w:r>
          </w:p>
        </w:tc>
        <w:tc>
          <w:tcPr>
            <w:tcW w:type="dxa" w:w="2608"/>
          </w:tcPr>
          <w:p>
            <w:r/>
            <w:r>
              <w:rPr>
                <w:sz w:val="17"/>
              </w:rPr>
              <w:t>Enteros de 1 a 4 en técnico y ticket</w:t>
            </w:r>
          </w:p>
        </w:tc>
        <w:tc>
          <w:tcPr>
            <w:tcW w:type="dxa" w:w="3288"/>
          </w:tcPr>
          <w:p>
            <w:r/>
            <w:r>
              <w:rPr>
                <w:sz w:val="17"/>
              </w:rPr>
              <w:t>La brecha es una resta directa; los SWITCH por texto devolverían vacío.</w:t>
            </w:r>
          </w:p>
        </w:tc>
      </w:tr>
      <w:tr>
        <w:trPr>
          <w:cantSplit/>
        </w:trPr>
        <w:tc>
          <w:tcPr>
            <w:tcW w:type="dxa" w:w="1701"/>
          </w:tcPr>
          <w:p>
            <w:r/>
            <w:r>
              <w:rPr>
                <w:sz w:val="17"/>
              </w:rPr>
              <w:t>Severidad</w:t>
            </w:r>
          </w:p>
        </w:tc>
        <w:tc>
          <w:tcPr>
            <w:tcW w:type="dxa" w:w="2041"/>
          </w:tcPr>
          <w:p>
            <w:r/>
            <w:r>
              <w:rPr>
                <w:sz w:val="17"/>
              </w:rPr>
              <w:t>«Critica»</w:t>
            </w:r>
          </w:p>
        </w:tc>
        <w:tc>
          <w:tcPr>
            <w:tcW w:type="dxa" w:w="2608"/>
          </w:tcPr>
          <w:p>
            <w:r/>
            <w:r>
              <w:rPr>
                <w:sz w:val="17"/>
              </w:rPr>
              <w:t>«Crítica» (con tilde)</w:t>
            </w:r>
          </w:p>
        </w:tc>
        <w:tc>
          <w:tcPr>
            <w:tcW w:type="dxa" w:w="3288"/>
          </w:tcPr>
          <w:p>
            <w:r/>
            <w:r>
              <w:rPr>
                <w:sz w:val="17"/>
              </w:rPr>
              <w:t>Revisar SWITCH y filtros por texto.</w:t>
            </w:r>
          </w:p>
        </w:tc>
      </w:tr>
      <w:tr>
        <w:trPr>
          <w:cantSplit/>
        </w:trPr>
        <w:tc>
          <w:tcPr>
            <w:tcW w:type="dxa" w:w="1701"/>
          </w:tcPr>
          <w:p>
            <w:r/>
            <w:r>
              <w:rPr>
                <w:sz w:val="17"/>
              </w:rPr>
              <w:t>andinalog_client_satisfaction</w:t>
            </w:r>
          </w:p>
        </w:tc>
        <w:tc>
          <w:tcPr>
            <w:tcW w:type="dxa" w:w="2041"/>
          </w:tcPr>
          <w:p>
            <w:r/>
            <w:r>
              <w:rPr>
                <w:sz w:val="17"/>
              </w:rPr>
              <w:t>≈49 % de órdenes, muestreo sesgado</w:t>
            </w:r>
          </w:p>
        </w:tc>
        <w:tc>
          <w:tcPr>
            <w:tcW w:type="dxa" w:w="2608"/>
          </w:tcPr>
          <w:p>
            <w:r/>
            <w:r>
              <w:rPr>
                <w:sz w:val="17"/>
              </w:rPr>
              <w:t>21.600 de 30.000 órdenes (72 %), sin sesgo aparente de OTIF</w:t>
            </w:r>
          </w:p>
        </w:tc>
        <w:tc>
          <w:tcPr>
            <w:tcW w:type="dxa" w:w="3288"/>
          </w:tcPr>
          <w:p>
            <w:r/>
            <w:r>
              <w:rPr>
                <w:sz w:val="17"/>
              </w:rPr>
              <w:t>Se sigue reportando N Evaluadas junto a la satisfacción.</w:t>
            </w:r>
          </w:p>
        </w:tc>
      </w:tr>
      <w:tr>
        <w:trPr>
          <w:cantSplit/>
        </w:trPr>
        <w:tc>
          <w:tcPr>
            <w:tcW w:type="dxa" w:w="1701"/>
          </w:tcPr>
          <w:p>
            <w:r/>
            <w:r>
              <w:rPr>
                <w:sz w:val="17"/>
              </w:rPr>
              <w:t>andinalog_inventory_tracking</w:t>
            </w:r>
          </w:p>
        </w:tc>
        <w:tc>
          <w:tcPr>
            <w:tcW w:type="dxa" w:w="2041"/>
          </w:tcPr>
          <w:p>
            <w:r/>
            <w:r>
              <w:rPr>
                <w:sz w:val="17"/>
              </w:rPr>
              <w:t>fecha_salida con vacíos</w:t>
            </w:r>
          </w:p>
        </w:tc>
        <w:tc>
          <w:tcPr>
            <w:tcW w:type="dxa" w:w="2608"/>
          </w:tcPr>
          <w:p>
            <w:r/>
            <w:r>
              <w:rPr>
                <w:sz w:val="17"/>
              </w:rPr>
              <w:t>fecha_salida siempre informada</w:t>
            </w:r>
          </w:p>
        </w:tc>
        <w:tc>
          <w:tcPr>
            <w:tcW w:type="dxa" w:w="3288"/>
          </w:tcPr>
          <w:p>
            <w:r/>
            <w:r>
              <w:rPr>
                <w:sz w:val="17"/>
              </w:rPr>
              <w:t>«Aún en almacén» deja de tener sentido; se usa vida remanente al salir.</w:t>
            </w:r>
          </w:p>
        </w:tc>
      </w:tr>
      <w:tr>
        <w:trPr>
          <w:cantSplit/>
        </w:trPr>
        <w:tc>
          <w:tcPr>
            <w:tcW w:type="dxa" w:w="1701"/>
          </w:tcPr>
          <w:p>
            <w:r/>
            <w:r>
              <w:rPr>
                <w:sz w:val="17"/>
              </w:rPr>
              <w:t>andinalog_iot_telemetry</w:t>
            </w:r>
          </w:p>
        </w:tc>
        <w:tc>
          <w:tcPr>
            <w:tcW w:type="dxa" w:w="2041"/>
          </w:tcPr>
          <w:p>
            <w:r/>
            <w:r>
              <w:rPr>
                <w:sz w:val="17"/>
              </w:rPr>
              <w:t>24 lecturas por viaje</w:t>
            </w:r>
          </w:p>
        </w:tc>
        <w:tc>
          <w:tcPr>
            <w:tcW w:type="dxa" w:w="2608"/>
          </w:tcPr>
          <w:p>
            <w:r/>
            <w:r>
              <w:rPr>
                <w:sz w:val="17"/>
              </w:rPr>
              <w:t>18 a 30 lecturas por viaje, cada 30 minutos; 8.000 viajes</w:t>
            </w:r>
          </w:p>
        </w:tc>
        <w:tc>
          <w:tcPr>
            <w:tcW w:type="dxa" w:w="3288"/>
          </w:tcPr>
          <w:p>
            <w:r/>
            <w:r>
              <w:rPr>
                <w:sz w:val="17"/>
              </w:rPr>
              <w:t>Los rezagos se obtienen por viaje y minutos_desde_despacho − 30.</w:t>
            </w:r>
          </w:p>
        </w:tc>
      </w:tr>
      <w:tr>
        <w:trPr>
          <w:cantSplit/>
        </w:trPr>
        <w:tc>
          <w:tcPr>
            <w:tcW w:type="dxa" w:w="1701"/>
          </w:tcPr>
          <w:p>
            <w:r/>
            <w:r>
              <w:rPr>
                <w:sz w:val="17"/>
              </w:rPr>
              <w:t>Particiones y objetivos</w:t>
            </w:r>
          </w:p>
        </w:tc>
        <w:tc>
          <w:tcPr>
            <w:tcW w:type="dxa" w:w="2041"/>
          </w:tcPr>
          <w:p>
            <w:r/>
            <w:r>
              <w:rPr>
                <w:sz w:val="17"/>
              </w:rPr>
              <w:t>—</w:t>
            </w:r>
          </w:p>
        </w:tc>
        <w:tc>
          <w:tcPr>
            <w:tcW w:type="dxa" w:w="2608"/>
          </w:tcPr>
          <w:p>
            <w:r/>
            <w:r>
              <w:rPr>
                <w:sz w:val="17"/>
              </w:rPr>
              <w:t>particion_modelo (TRAIN/VALIDATION/TEST) y objetivos del Módulo 3 en las tablas de hechos</w:t>
            </w:r>
          </w:p>
        </w:tc>
        <w:tc>
          <w:tcPr>
            <w:tcW w:type="dxa" w:w="3288"/>
          </w:tcPr>
          <w:p>
            <w:r/>
            <w:r>
              <w:rPr>
                <w:sz w:val="17"/>
              </w:rPr>
              <w:t>Se usan como filtro y como resultado observado; no son predicciones.</w:t>
            </w:r>
          </w:p>
        </w:tc>
      </w:tr>
      <w:tr>
        <w:trPr>
          <w:cantSplit/>
        </w:trPr>
        <w:tc>
          <w:tcPr>
            <w:tcW w:type="dxa" w:w="1701"/>
          </w:tcPr>
          <w:p>
            <w:r/>
            <w:r>
              <w:rPr>
                <w:sz w:val="17"/>
              </w:rPr>
              <w:t>Nombres de personas</w:t>
            </w:r>
          </w:p>
        </w:tc>
        <w:tc>
          <w:tcPr>
            <w:tcW w:type="dxa" w:w="2041"/>
          </w:tcPr>
          <w:p>
            <w:r/>
            <w:r>
              <w:rPr>
                <w:sz w:val="17"/>
              </w:rPr>
              <w:t>Códigos PSN</w:t>
            </w:r>
          </w:p>
        </w:tc>
        <w:tc>
          <w:tcPr>
            <w:tcW w:type="dxa" w:w="2608"/>
          </w:tcPr>
          <w:p>
            <w:r/>
            <w:r>
              <w:rPr>
                <w:sz w:val="17"/>
              </w:rPr>
              <w:t>Seudónimos legibles (Técnico Seudónimo 001, Chofer…, Abonado…)</w:t>
            </w:r>
          </w:p>
        </w:tc>
        <w:tc>
          <w:tcPr>
            <w:tcW w:type="dxa" w:w="3288"/>
          </w:tcPr>
          <w:p>
            <w:r/>
            <w:r>
              <w:rPr>
                <w:sz w:val="17"/>
              </w:rPr>
              <w:t>Se tratan como dato personal: no se cargan o se ocultan.</w:t>
            </w:r>
          </w:p>
        </w:tc>
      </w:tr>
    </w:tbl>
    <w:p>
      <w:pPr>
        <w:spacing w:after="40"/>
      </w:pPr>
    </w:p>
    <w:p>
      <w:pPr>
        <w:pStyle w:val="Heading2"/>
      </w:pPr>
      <w:r>
        <w:t>Preparación en Power BI</w:t>
      </w:r>
    </w:p>
    <w:p>
      <w:pPr>
        <w:pStyle w:val="ListParagraph"/>
        <w:spacing w:after="60"/>
      </w:pPr>
      <w:r>
        <w:rPr>
          <w:b/>
        </w:rPr>
        <w:t xml:space="preserve">Configuración regional. </w:t>
      </w:r>
      <w:r>
        <w:rPr>
          <w:b w:val="0"/>
        </w:rPr>
        <w:t>Todos los números usan punto decimal. En Archivo → Opciones → Archivo actual → Configuración regional elija Inglés (Estados Unidos), o cambie los tipos con configuración regional en-US. Las fechas vienen en formato ISO (AAAA-MM-DD) y se leen bien con cualquier región.</w:t>
      </w:r>
    </w:p>
    <w:p>
      <w:pPr>
        <w:pStyle w:val="ListParagraph"/>
        <w:spacing w:after="60"/>
      </w:pPr>
      <w:r>
        <w:rPr>
          <w:b/>
        </w:rPr>
        <w:t xml:space="preserve">Fechas con nanosegundos. </w:t>
      </w:r>
      <w:r>
        <w:rPr>
          <w:b w:val="0"/>
        </w:rPr>
        <w:t>fecha_cierre de aitsa_support_tickets y de rednexo_support_log trae nueve decimales en los segundos (…09.408482037). Power Query admite hasta siete; si la conversión a fecha y hora falla, conviértala desde el texto recortado: DateTime.FromText(Text.Start([fecha_cierre], 19)).</w:t>
      </w:r>
    </w:p>
    <w:p>
      <w:pPr>
        <w:pStyle w:val="ListParagraph"/>
        <w:spacing w:after="60"/>
      </w:pPr>
      <w:r>
        <w:rPr>
          <w:b/>
        </w:rPr>
        <w:t xml:space="preserve">Tabla de fechas por ecosistema. </w:t>
      </w:r>
      <w:r>
        <w:rPr>
          <w:b w:val="0"/>
        </w:rPr>
        <w:t>AITSA: CALENDAR(DATE(2022,1,1), DATE(2026,12,31)). RedNexo: CALENDAR(DATE(2023,1,1), DATE(2025,12,31)); la fecha de alta (2017–2022) se usa como atributo o para calcular antigüedad, no se relaciona. AndinaLog: CALENDAR(DATE(2023,1,1), DATE(2026,12,31)), porque 161 lotes ingresan en noviembre y diciembre de 2023 y las encuestas y los vencimientos llegan a 2026. Relacione la tabla de fechas solo con tablas de hechos, con una columna de tipo fecha (sin hora). Si la columna de la tabla de hechos trae hora (fecha_apertura de RedNexo, fecha_despacho, timestamp de la telemetría, fecha_ingreso del inventario), agregue en Power Query una columna fecha = DateTime.Date([columna]) y relacione esa.</w:t>
      </w:r>
    </w:p>
    <w:p>
      <w:pPr>
        <w:pStyle w:val="ListParagraph"/>
        <w:spacing w:after="60"/>
      </w:pPr>
      <w:r>
        <w:rPr>
          <w:b/>
        </w:rPr>
        <w:t xml:space="preserve">Columnas del Módulo 3. </w:t>
      </w:r>
      <w:r>
        <w:rPr>
          <w:b w:val="0"/>
        </w:rPr>
        <w:t>particion_modelo sirve como segmentador (por ejemplo, mostrar solo TEST para comparar con las métricas del modelo). churn_90d, otif, incumplimiento_sla_flag, mttr_horas y desviacion_proximos_60min_flag son resultados observados. churn_risk es un indicador por reglas: no lo presente como probabilidad ni como resultado.</w:t>
      </w:r>
    </w:p>
    <w:p>
      <w:pPr>
        <w:pStyle w:val="ListParagraph"/>
        <w:spacing w:after="60"/>
      </w:pPr>
      <w:r>
        <w:rPr>
          <w:b/>
        </w:rPr>
        <w:t xml:space="preserve">Datos personales. </w:t>
      </w:r>
      <w:r>
        <w:rPr>
          <w:b w:val="0"/>
        </w:rPr>
        <w:t>tecnico_nombre (AITSA y RedNexo), chofer_nombre (AndinaLog) y abonado_nombre (RedNexo) son seudónimos, pero identifican a una persona dentro del caso. Quítelos en Power Query si el tablero no los necesita; si los necesita, ocúltelos del informe y limite el acceso con seguridad por filas.</w:t>
      </w:r>
    </w:p>
    <w:p>
      <w:pPr>
        <w:pStyle w:val="ListParagraph"/>
        <w:spacing w:after="60"/>
      </w:pPr>
      <w:r>
        <w:rPr>
          <w:b/>
        </w:rPr>
        <w:t xml:space="preserve">Tamaño. </w:t>
      </w:r>
      <w:r>
        <w:rPr>
          <w:b w:val="0"/>
        </w:rPr>
        <w:t>rednexo_crm_billing (24 MB) y andinalog_iot_telemetry (19 MB) cargan bien en modo Importación, pero son las tablas que más pesan en la actualización y en Performance Analyzer. Quite las columnas que no use antes de cargar.</w:t>
      </w:r>
    </w:p>
    <w:p>
      <w:pPr>
        <w:pStyle w:val="Heading2"/>
      </w:pPr>
      <w:r>
        <w:t>La regla: "relacionar, nunca fusionar"</w:t>
      </w:r>
    </w:p>
    <w:p>
      <w:r>
        <w:rPr>
          <w:b w:val="0"/>
        </w:rPr>
        <w:t>En pandas, unir dos tablas de hechos exige agregarlas antes a un nivel común. En Power BI ese problema se resuelve una sola vez en el modelo: cada tabla de hechos se relaciona con sus dimensiones y nunca se fusiona con otra tabla de hechos. Cada SUM() o AVERAGE() de una medida se resuelve contra su propia tabla bajo el filtro compartido del visual.</w:t>
      </w:r>
    </w:p>
    <w:p>
      <w:r>
        <w:rPr>
          <w:b w:val="0"/>
        </w:rPr>
        <w:t>El riesgo se traslada. Fusionar dos tablas de hechos con Combinar consultas vuelve a crear el muchos a muchos. Y hay dos casos donde Power BI exige más que pandas: un indicador en un grano distinto del de la tabla (por ejemplo, % de viajes con desviación sobre una tabla de lecturas) necesita una tabla virtual con SUMMARIZE o ADDCOLUMNS; y un rezago dentro de una entidad necesita una búsqueda explícita (LOOKUPVALUE, OFFSET o un paso en Power Query).</w:t>
      </w:r>
    </w:p>
    <w:p>
      <w:r>
        <w:rPr>
          <w:b w:val="0"/>
        </w:rPr>
        <w:t>Regla adicional de v10: si dos caminos de relaciones llevan de una dimensión a la misma tabla de hechos, Power BI desactiva uno sin avisar en el visual. Cada subcaso indica cuál relación queda activa y por qué.</w:t>
      </w:r>
    </w:p>
    <w:p>
      <w:pPr>
        <w:pStyle w:val="Heading2"/>
      </w:pPr>
      <w:r>
        <w:t>Subcasos cubiertos</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907"/>
        <w:gridCol w:w="1701"/>
        <w:gridCol w:w="2381"/>
        <w:gridCol w:w="4649"/>
      </w:tblGrid>
      <w:tr>
        <w:trPr>
          <w:cantSplit/>
          <w:tblHeader/>
        </w:trPr>
        <w:tc>
          <w:tcPr>
            <w:tcW w:type="dxa" w:w="907"/>
            <w:shd w:val="clear" w:color="auto" w:fill="DCEEE2"/>
          </w:tcPr>
          <w:p>
            <w:r/>
            <w:r>
              <w:rPr>
                <w:b/>
                <w:color w:val="20603D"/>
                <w:sz w:val="17"/>
              </w:rPr>
              <w:t>Subcaso</w:t>
            </w:r>
          </w:p>
        </w:tc>
        <w:tc>
          <w:tcPr>
            <w:tcW w:type="dxa" w:w="1701"/>
            <w:shd w:val="clear" w:color="auto" w:fill="DCEEE2"/>
          </w:tcPr>
          <w:p>
            <w:r/>
            <w:r>
              <w:rPr>
                <w:b/>
                <w:color w:val="20603D"/>
                <w:sz w:val="17"/>
              </w:rPr>
              <w:t>Caso</w:t>
            </w:r>
          </w:p>
        </w:tc>
        <w:tc>
          <w:tcPr>
            <w:tcW w:type="dxa" w:w="2381"/>
            <w:shd w:val="clear" w:color="auto" w:fill="DCEEE2"/>
          </w:tcPr>
          <w:p>
            <w:r/>
            <w:r>
              <w:rPr>
                <w:b/>
                <w:color w:val="20603D"/>
                <w:sz w:val="17"/>
              </w:rPr>
              <w:t>Rol</w:t>
            </w:r>
          </w:p>
        </w:tc>
        <w:tc>
          <w:tcPr>
            <w:tcW w:type="dxa" w:w="4649"/>
            <w:shd w:val="clear" w:color="auto" w:fill="DCEEE2"/>
          </w:tcPr>
          <w:p>
            <w:r/>
            <w:r>
              <w:rPr>
                <w:b/>
                <w:color w:val="20603D"/>
                <w:sz w:val="17"/>
              </w:rPr>
              <w:t>Mandato</w:t>
            </w:r>
          </w:p>
        </w:tc>
      </w:tr>
      <w:tr>
        <w:trPr>
          <w:cantSplit/>
        </w:trPr>
        <w:tc>
          <w:tcPr>
            <w:tcW w:type="dxa" w:w="907"/>
          </w:tcPr>
          <w:p>
            <w:r/>
            <w:r>
              <w:rPr>
                <w:sz w:val="17"/>
              </w:rPr>
              <w:t>01A</w:t>
            </w:r>
          </w:p>
        </w:tc>
        <w:tc>
          <w:tcPr>
            <w:tcW w:type="dxa" w:w="1701"/>
          </w:tcPr>
          <w:p>
            <w:r/>
            <w:r>
              <w:rPr>
                <w:sz w:val="17"/>
              </w:rPr>
              <w:t>Caso 01 — AITSA</w:t>
            </w:r>
          </w:p>
        </w:tc>
        <w:tc>
          <w:tcPr>
            <w:tcW w:type="dxa" w:w="2381"/>
          </w:tcPr>
          <w:p>
            <w:r/>
            <w:r>
              <w:rPr>
                <w:sz w:val="17"/>
              </w:rPr>
              <w:t>Gerencia General y Dirección Estratégica</w:t>
            </w:r>
          </w:p>
        </w:tc>
        <w:tc>
          <w:tcPr>
            <w:tcW w:type="dxa" w:w="4649"/>
          </w:tcPr>
          <w:p>
            <w:r/>
            <w:r>
              <w:rPr>
                <w:sz w:val="17"/>
              </w:rPr>
              <w:t>Evaluar la viabilidad del portafolio, el margen corporativo y el impacto económico de las penalidades por incumplimiento de niveles de servicio.</w:t>
            </w:r>
          </w:p>
        </w:tc>
      </w:tr>
      <w:tr>
        <w:trPr>
          <w:cantSplit/>
        </w:trPr>
        <w:tc>
          <w:tcPr>
            <w:tcW w:type="dxa" w:w="907"/>
          </w:tcPr>
          <w:p>
            <w:r/>
            <w:r>
              <w:rPr>
                <w:sz w:val="17"/>
              </w:rPr>
              <w:t>01B</w:t>
            </w:r>
          </w:p>
        </w:tc>
        <w:tc>
          <w:tcPr>
            <w:tcW w:type="dxa" w:w="1701"/>
          </w:tcPr>
          <w:p>
            <w:r/>
            <w:r>
              <w:rPr>
                <w:sz w:val="17"/>
              </w:rPr>
              <w:t>Caso 01 — AITSA</w:t>
            </w:r>
          </w:p>
        </w:tc>
        <w:tc>
          <w:tcPr>
            <w:tcW w:type="dxa" w:w="2381"/>
          </w:tcPr>
          <w:p>
            <w:r/>
            <w:r>
              <w:rPr>
                <w:sz w:val="17"/>
              </w:rPr>
              <w:t>Dirección de Operaciones y PMO</w:t>
            </w:r>
          </w:p>
        </w:tc>
        <w:tc>
          <w:tcPr>
            <w:tcW w:type="dxa" w:w="4649"/>
          </w:tcPr>
          <w:p>
            <w:r/>
            <w:r>
              <w:rPr>
                <w:sz w:val="17"/>
              </w:rPr>
              <w:t>Explicar la estabilidad operativa de las plantas y mejorar la asignación de técnicos según especialidad, certificación, carga y criticidad del ticket.</w:t>
            </w:r>
          </w:p>
        </w:tc>
      </w:tr>
      <w:tr>
        <w:trPr>
          <w:cantSplit/>
        </w:trPr>
        <w:tc>
          <w:tcPr>
            <w:tcW w:type="dxa" w:w="907"/>
          </w:tcPr>
          <w:p>
            <w:r/>
            <w:r>
              <w:rPr>
                <w:sz w:val="17"/>
              </w:rPr>
              <w:t>02A</w:t>
            </w:r>
          </w:p>
        </w:tc>
        <w:tc>
          <w:tcPr>
            <w:tcW w:type="dxa" w:w="1701"/>
          </w:tcPr>
          <w:p>
            <w:r/>
            <w:r>
              <w:rPr>
                <w:sz w:val="17"/>
              </w:rPr>
              <w:t>Caso 02 — RedNexo</w:t>
            </w:r>
          </w:p>
        </w:tc>
        <w:tc>
          <w:tcPr>
            <w:tcW w:type="dxa" w:w="2381"/>
          </w:tcPr>
          <w:p>
            <w:r/>
            <w:r>
              <w:rPr>
                <w:sz w:val="17"/>
              </w:rPr>
              <w:t>Estrategia y Finanzas</w:t>
            </w:r>
          </w:p>
        </w:tc>
        <w:tc>
          <w:tcPr>
            <w:tcW w:type="dxa" w:w="4649"/>
          </w:tcPr>
          <w:p>
            <w:r/>
            <w:r>
              <w:rPr>
                <w:sz w:val="17"/>
              </w:rPr>
              <w:t>Comparar la sostenibilidad económica de tecnologías legadas y fibra óptica, incorporando churn, calidad del servicio, OPEX, CAPEX y parámetros financieros comunes.</w:t>
            </w:r>
          </w:p>
        </w:tc>
      </w:tr>
      <w:tr>
        <w:trPr>
          <w:cantSplit/>
        </w:trPr>
        <w:tc>
          <w:tcPr>
            <w:tcW w:type="dxa" w:w="907"/>
          </w:tcPr>
          <w:p>
            <w:r/>
            <w:r>
              <w:rPr>
                <w:sz w:val="17"/>
              </w:rPr>
              <w:t>02B</w:t>
            </w:r>
          </w:p>
        </w:tc>
        <w:tc>
          <w:tcPr>
            <w:tcW w:type="dxa" w:w="1701"/>
          </w:tcPr>
          <w:p>
            <w:r/>
            <w:r>
              <w:rPr>
                <w:sz w:val="17"/>
              </w:rPr>
              <w:t>Caso 02 — RedNexo</w:t>
            </w:r>
          </w:p>
        </w:tc>
        <w:tc>
          <w:tcPr>
            <w:tcW w:type="dxa" w:w="2381"/>
          </w:tcPr>
          <w:p>
            <w:r/>
            <w:r>
              <w:rPr>
                <w:sz w:val="17"/>
              </w:rPr>
              <w:t>Tecnología y Operaciones</w:t>
            </w:r>
          </w:p>
        </w:tc>
        <w:tc>
          <w:tcPr>
            <w:tcW w:type="dxa" w:w="4649"/>
          </w:tcPr>
          <w:p>
            <w:r/>
            <w:r>
              <w:rPr>
                <w:sz w:val="17"/>
              </w:rPr>
              <w:t>Priorizar incidentes y cuadrillas cruzando alarmas de red, tecnología instalada, zona, historial de soporte, capacidad y experiencia operativa.</w:t>
            </w:r>
          </w:p>
        </w:tc>
      </w:tr>
      <w:tr>
        <w:trPr>
          <w:cantSplit/>
        </w:trPr>
        <w:tc>
          <w:tcPr>
            <w:tcW w:type="dxa" w:w="907"/>
          </w:tcPr>
          <w:p>
            <w:r/>
            <w:r>
              <w:rPr>
                <w:sz w:val="17"/>
              </w:rPr>
              <w:t>03A</w:t>
            </w:r>
          </w:p>
        </w:tc>
        <w:tc>
          <w:tcPr>
            <w:tcW w:type="dxa" w:w="1701"/>
          </w:tcPr>
          <w:p>
            <w:r/>
            <w:r>
              <w:rPr>
                <w:sz w:val="17"/>
              </w:rPr>
              <w:t>Caso 03 — AndinaLog</w:t>
            </w:r>
          </w:p>
        </w:tc>
        <w:tc>
          <w:tcPr>
            <w:tcW w:type="dxa" w:w="2381"/>
          </w:tcPr>
          <w:p>
            <w:r/>
            <w:r>
              <w:rPr>
                <w:sz w:val="17"/>
              </w:rPr>
              <w:t>Dirección Comercial y Clientes</w:t>
            </w:r>
          </w:p>
        </w:tc>
        <w:tc>
          <w:tcPr>
            <w:tcW w:type="dxa" w:w="4649"/>
          </w:tcPr>
          <w:p>
            <w:r/>
            <w:r>
              <w:rPr>
                <w:sz w:val="17"/>
              </w:rPr>
              <w:t>Analizar rentabilidad, cumplimiento OTIF, satisfacción y merma por cliente, tipo de canal, producto y categoría logística.</w:t>
            </w:r>
          </w:p>
        </w:tc>
      </w:tr>
      <w:tr>
        <w:trPr>
          <w:cantSplit/>
        </w:trPr>
        <w:tc>
          <w:tcPr>
            <w:tcW w:type="dxa" w:w="907"/>
          </w:tcPr>
          <w:p>
            <w:r/>
            <w:r>
              <w:rPr>
                <w:sz w:val="17"/>
              </w:rPr>
              <w:t>03B</w:t>
            </w:r>
          </w:p>
        </w:tc>
        <w:tc>
          <w:tcPr>
            <w:tcW w:type="dxa" w:w="1701"/>
          </w:tcPr>
          <w:p>
            <w:r/>
            <w:r>
              <w:rPr>
                <w:sz w:val="17"/>
              </w:rPr>
              <w:t>Caso 03 — AndinaLog</w:t>
            </w:r>
          </w:p>
        </w:tc>
        <w:tc>
          <w:tcPr>
            <w:tcW w:type="dxa" w:w="2381"/>
          </w:tcPr>
          <w:p>
            <w:r/>
            <w:r>
              <w:rPr>
                <w:sz w:val="17"/>
              </w:rPr>
              <w:t>Operaciones y Planificación de Datos</w:t>
            </w:r>
          </w:p>
        </w:tc>
        <w:tc>
          <w:tcPr>
            <w:tcW w:type="dxa" w:w="4649"/>
          </w:tcPr>
          <w:p>
            <w:r/>
            <w:r>
              <w:rPr>
                <w:sz w:val="17"/>
              </w:rPr>
              <w:t>Proteger la cadena de frío, mejorar la rotación del inventario y anticipar desviaciones térmicas durante el transporte.</w:t>
            </w:r>
          </w:p>
        </w:tc>
      </w:tr>
    </w:tbl>
    <w:p>
      <w:pPr>
        <w:spacing w:after="40"/>
      </w:pPr>
    </w:p>
    <w:p>
      <w:r>
        <w:br w:type="page"/>
      </w:r>
    </w:p>
    <w:p>
      <w:pPr>
        <w:pStyle w:val="Heading1"/>
      </w:pPr>
      <w:r>
        <w:t>Subcaso 01A — Gerencia General y Dirección Estratégica</w:t>
      </w:r>
    </w:p>
    <w:p>
      <w:r>
        <w:rPr>
          <w:b/>
        </w:rPr>
        <w:t xml:space="preserve">Caso 01 — AITSA  ·  Mandato: </w:t>
      </w:r>
      <w:r>
        <w:t>Evaluar la viabilidad del portafolio, el margen corporativo y el impacto económico de las penalidades por incumplimiento de niveles de servicio.</w:t>
      </w:r>
    </w:p>
    <w:p>
      <w:r>
        <w:rPr>
          <w:b/>
        </w:rPr>
        <w:t xml:space="preserve">Cruce: </w:t>
      </w:r>
      <w:r>
        <w:t>Clientes → proyectos → facturación y tickets; instalaciones → proyectos.</w:t>
      </w:r>
    </w:p>
    <w:p>
      <w:pPr>
        <w:pStyle w:val="Heading2"/>
      </w:pPr>
      <w:r>
        <w:t>Tablas y su rol en el modelo de datos</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608"/>
        <w:gridCol w:w="1701"/>
        <w:gridCol w:w="2608"/>
        <w:gridCol w:w="2721"/>
      </w:tblGrid>
      <w:tr>
        <w:trPr>
          <w:cantSplit/>
          <w:tblHeader/>
        </w:trPr>
        <w:tc>
          <w:tcPr>
            <w:tcW w:type="dxa" w:w="2608"/>
            <w:shd w:val="clear" w:color="auto" w:fill="DCEEE2"/>
          </w:tcPr>
          <w:p>
            <w:r/>
            <w:r>
              <w:rPr>
                <w:b/>
                <w:color w:val="20603D"/>
                <w:sz w:val="17"/>
              </w:rPr>
              <w:t>Tabla</w:t>
            </w:r>
          </w:p>
        </w:tc>
        <w:tc>
          <w:tcPr>
            <w:tcW w:type="dxa" w:w="1701"/>
            <w:shd w:val="clear" w:color="auto" w:fill="DCEEE2"/>
          </w:tcPr>
          <w:p>
            <w:r/>
            <w:r>
              <w:rPr>
                <w:b/>
                <w:color w:val="20603D"/>
                <w:sz w:val="17"/>
              </w:rPr>
              <w:t>Grano (filas)</w:t>
            </w:r>
          </w:p>
        </w:tc>
        <w:tc>
          <w:tcPr>
            <w:tcW w:type="dxa" w:w="2608"/>
            <w:shd w:val="clear" w:color="auto" w:fill="DCEEE2"/>
          </w:tcPr>
          <w:p>
            <w:r/>
            <w:r>
              <w:rPr>
                <w:b/>
                <w:color w:val="20603D"/>
                <w:sz w:val="17"/>
              </w:rPr>
              <w:t>Rol</w:t>
            </w:r>
          </w:p>
        </w:tc>
        <w:tc>
          <w:tcPr>
            <w:tcW w:type="dxa" w:w="2721"/>
            <w:shd w:val="clear" w:color="auto" w:fill="DCEEE2"/>
          </w:tcPr>
          <w:p>
            <w:r/>
            <w:r>
              <w:rPr>
                <w:b/>
                <w:color w:val="20603D"/>
                <w:sz w:val="17"/>
              </w:rPr>
              <w:t>Claves</w:t>
            </w:r>
          </w:p>
        </w:tc>
      </w:tr>
      <w:tr>
        <w:trPr>
          <w:cantSplit/>
        </w:trPr>
        <w:tc>
          <w:tcPr>
            <w:tcW w:type="dxa" w:w="2608"/>
          </w:tcPr>
          <w:p>
            <w:r/>
            <w:r>
              <w:rPr>
                <w:sz w:val="17"/>
              </w:rPr>
              <w:t>aitsa_erp_projects_silver</w:t>
            </w:r>
          </w:p>
        </w:tc>
        <w:tc>
          <w:tcPr>
            <w:tcW w:type="dxa" w:w="1701"/>
          </w:tcPr>
          <w:p>
            <w:r/>
            <w:r>
              <w:rPr>
                <w:sz w:val="17"/>
              </w:rPr>
              <w:t>1 proyecto (1.200)</w:t>
            </w:r>
          </w:p>
        </w:tc>
        <w:tc>
          <w:tcPr>
            <w:tcW w:type="dxa" w:w="2608"/>
          </w:tcPr>
          <w:p>
            <w:r/>
            <w:r>
              <w:rPr>
                <w:sz w:val="17"/>
              </w:rPr>
              <w:t>Dimensión de proyecto con atributos numéricos</w:t>
            </w:r>
          </w:p>
        </w:tc>
        <w:tc>
          <w:tcPr>
            <w:tcW w:type="dxa" w:w="2721"/>
          </w:tcPr>
          <w:p>
            <w:r/>
            <w:r>
              <w:rPr>
                <w:sz w:val="17"/>
              </w:rPr>
              <w:t>project_id (PK), client_id, facility_id</w:t>
            </w:r>
          </w:p>
        </w:tc>
      </w:tr>
      <w:tr>
        <w:trPr>
          <w:cantSplit/>
        </w:trPr>
        <w:tc>
          <w:tcPr>
            <w:tcW w:type="dxa" w:w="2608"/>
          </w:tcPr>
          <w:p>
            <w:r/>
            <w:r>
              <w:rPr>
                <w:sz w:val="17"/>
              </w:rPr>
              <w:t>aitsa_clients_silver</w:t>
            </w:r>
          </w:p>
        </w:tc>
        <w:tc>
          <w:tcPr>
            <w:tcW w:type="dxa" w:w="1701"/>
          </w:tcPr>
          <w:p>
            <w:r/>
            <w:r>
              <w:rPr>
                <w:sz w:val="17"/>
              </w:rPr>
              <w:t>1 cliente (120)</w:t>
            </w:r>
          </w:p>
        </w:tc>
        <w:tc>
          <w:tcPr>
            <w:tcW w:type="dxa" w:w="2608"/>
          </w:tcPr>
          <w:p>
            <w:r/>
            <w:r>
              <w:rPr>
                <w:sz w:val="17"/>
              </w:rPr>
              <w:t>Dimensión</w:t>
            </w:r>
          </w:p>
        </w:tc>
        <w:tc>
          <w:tcPr>
            <w:tcW w:type="dxa" w:w="2721"/>
          </w:tcPr>
          <w:p>
            <w:r/>
            <w:r>
              <w:rPr>
                <w:sz w:val="17"/>
              </w:rPr>
              <w:t>client_id (PK)</w:t>
            </w:r>
          </w:p>
        </w:tc>
      </w:tr>
      <w:tr>
        <w:trPr>
          <w:cantSplit/>
        </w:trPr>
        <w:tc>
          <w:tcPr>
            <w:tcW w:type="dxa" w:w="2608"/>
          </w:tcPr>
          <w:p>
            <w:r/>
            <w:r>
              <w:rPr>
                <w:sz w:val="17"/>
              </w:rPr>
              <w:t>aitsa_facilities_silver</w:t>
            </w:r>
          </w:p>
        </w:tc>
        <w:tc>
          <w:tcPr>
            <w:tcW w:type="dxa" w:w="1701"/>
          </w:tcPr>
          <w:p>
            <w:r/>
            <w:r>
              <w:rPr>
                <w:sz w:val="17"/>
              </w:rPr>
              <w:t>1 instalación (180)</w:t>
            </w:r>
          </w:p>
        </w:tc>
        <w:tc>
          <w:tcPr>
            <w:tcW w:type="dxa" w:w="2608"/>
          </w:tcPr>
          <w:p>
            <w:r/>
            <w:r>
              <w:rPr>
                <w:sz w:val="17"/>
              </w:rPr>
              <w:t>Dimensión</w:t>
            </w:r>
          </w:p>
        </w:tc>
        <w:tc>
          <w:tcPr>
            <w:tcW w:type="dxa" w:w="2721"/>
          </w:tcPr>
          <w:p>
            <w:r/>
            <w:r>
              <w:rPr>
                <w:sz w:val="17"/>
              </w:rPr>
              <w:t>facility_id (PK)</w:t>
            </w:r>
          </w:p>
        </w:tc>
      </w:tr>
      <w:tr>
        <w:trPr>
          <w:cantSplit/>
        </w:trPr>
        <w:tc>
          <w:tcPr>
            <w:tcW w:type="dxa" w:w="2608"/>
          </w:tcPr>
          <w:p>
            <w:r/>
            <w:r>
              <w:rPr>
                <w:sz w:val="17"/>
              </w:rPr>
              <w:t>aitsa_financial_cashflow_silver</w:t>
            </w:r>
          </w:p>
        </w:tc>
        <w:tc>
          <w:tcPr>
            <w:tcW w:type="dxa" w:w="1701"/>
          </w:tcPr>
          <w:p>
            <w:r/>
            <w:r>
              <w:rPr>
                <w:sz w:val="17"/>
              </w:rPr>
              <w:t>1 factura (11.878)</w:t>
            </w:r>
          </w:p>
        </w:tc>
        <w:tc>
          <w:tcPr>
            <w:tcW w:type="dxa" w:w="2608"/>
          </w:tcPr>
          <w:p>
            <w:r/>
            <w:r>
              <w:rPr>
                <w:sz w:val="17"/>
              </w:rPr>
              <w:t>Hecho</w:t>
            </w:r>
          </w:p>
        </w:tc>
        <w:tc>
          <w:tcPr>
            <w:tcW w:type="dxa" w:w="2721"/>
          </w:tcPr>
          <w:p>
            <w:r/>
            <w:r>
              <w:rPr>
                <w:sz w:val="17"/>
              </w:rPr>
              <w:t>project_id, fecha_factura</w:t>
            </w:r>
          </w:p>
        </w:tc>
      </w:tr>
      <w:tr>
        <w:trPr>
          <w:cantSplit/>
        </w:trPr>
        <w:tc>
          <w:tcPr>
            <w:tcW w:type="dxa" w:w="2608"/>
          </w:tcPr>
          <w:p>
            <w:r/>
            <w:r>
              <w:rPr>
                <w:sz w:val="17"/>
              </w:rPr>
              <w:t>aitsa_support_tickets_silver</w:t>
            </w:r>
          </w:p>
        </w:tc>
        <w:tc>
          <w:tcPr>
            <w:tcW w:type="dxa" w:w="1701"/>
          </w:tcPr>
          <w:p>
            <w:r/>
            <w:r>
              <w:rPr>
                <w:sz w:val="17"/>
              </w:rPr>
              <w:t>1 ticket (7.588)</w:t>
            </w:r>
          </w:p>
        </w:tc>
        <w:tc>
          <w:tcPr>
            <w:tcW w:type="dxa" w:w="2608"/>
          </w:tcPr>
          <w:p>
            <w:r/>
            <w:r>
              <w:rPr>
                <w:sz w:val="17"/>
              </w:rPr>
              <w:t>Hecho</w:t>
            </w:r>
          </w:p>
        </w:tc>
        <w:tc>
          <w:tcPr>
            <w:tcW w:type="dxa" w:w="2721"/>
          </w:tcPr>
          <w:p>
            <w:r/>
            <w:r>
              <w:rPr>
                <w:sz w:val="17"/>
              </w:rPr>
              <w:t>project_id, fecha_apertura</w:t>
            </w:r>
          </w:p>
        </w:tc>
      </w:tr>
      <w:tr>
        <w:trPr>
          <w:cantSplit/>
        </w:trPr>
        <w:tc>
          <w:tcPr>
            <w:tcW w:type="dxa" w:w="2608"/>
          </w:tcPr>
          <w:p>
            <w:r/>
            <w:r>
              <w:rPr>
                <w:sz w:val="17"/>
              </w:rPr>
              <w:t>dim_fecha (DAX)</w:t>
            </w:r>
          </w:p>
        </w:tc>
        <w:tc>
          <w:tcPr>
            <w:tcW w:type="dxa" w:w="1701"/>
          </w:tcPr>
          <w:p>
            <w:r/>
            <w:r>
              <w:rPr>
                <w:sz w:val="17"/>
              </w:rPr>
              <w:t>1 día, 2022–2026</w:t>
            </w:r>
          </w:p>
        </w:tc>
        <w:tc>
          <w:tcPr>
            <w:tcW w:type="dxa" w:w="2608"/>
          </w:tcPr>
          <w:p>
            <w:r/>
            <w:r>
              <w:rPr>
                <w:sz w:val="17"/>
              </w:rPr>
              <w:t>Dimensión de fecha</w:t>
            </w:r>
          </w:p>
        </w:tc>
        <w:tc>
          <w:tcPr>
            <w:tcW w:type="dxa" w:w="2721"/>
          </w:tcPr>
          <w:p>
            <w:r/>
            <w:r>
              <w:rPr>
                <w:sz w:val="17"/>
              </w:rPr>
              <w:t>fecha (PK)</w:t>
            </w:r>
          </w:p>
        </w:tc>
      </w:tr>
    </w:tbl>
    <w:p>
      <w:pPr>
        <w:spacing w:after="40"/>
      </w:pPr>
    </w:p>
    <w:p>
      <w:pPr>
        <w:pStyle w:val="Heading2"/>
      </w:pPr>
      <w:r>
        <w:t>Relaciones a crear en el modelo</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494"/>
        <w:gridCol w:w="793"/>
        <w:gridCol w:w="2494"/>
        <w:gridCol w:w="3855"/>
      </w:tblGrid>
      <w:tr>
        <w:trPr>
          <w:cantSplit/>
          <w:tblHeader/>
        </w:trPr>
        <w:tc>
          <w:tcPr>
            <w:tcW w:type="dxa" w:w="2494"/>
            <w:shd w:val="clear" w:color="auto" w:fill="DCEEE2"/>
          </w:tcPr>
          <w:p>
            <w:r/>
            <w:r>
              <w:rPr>
                <w:b/>
                <w:color w:val="20603D"/>
                <w:sz w:val="17"/>
              </w:rPr>
              <w:t>Lado 1</w:t>
            </w:r>
          </w:p>
        </w:tc>
        <w:tc>
          <w:tcPr>
            <w:tcW w:type="dxa" w:w="794"/>
            <w:shd w:val="clear" w:color="auto" w:fill="DCEEE2"/>
          </w:tcPr>
          <w:p>
            <w:r/>
            <w:r>
              <w:rPr>
                <w:b/>
                <w:color w:val="20603D"/>
                <w:sz w:val="17"/>
              </w:rPr>
              <w:t>Card.</w:t>
            </w:r>
          </w:p>
        </w:tc>
        <w:tc>
          <w:tcPr>
            <w:tcW w:type="dxa" w:w="2494"/>
            <w:shd w:val="clear" w:color="auto" w:fill="DCEEE2"/>
          </w:tcPr>
          <w:p>
            <w:r/>
            <w:r>
              <w:rPr>
                <w:b/>
                <w:color w:val="20603D"/>
                <w:sz w:val="17"/>
              </w:rPr>
              <w:t>Lado N</w:t>
            </w:r>
          </w:p>
        </w:tc>
        <w:tc>
          <w:tcPr>
            <w:tcW w:type="dxa" w:w="3855"/>
            <w:shd w:val="clear" w:color="auto" w:fill="DCEEE2"/>
          </w:tcPr>
          <w:p>
            <w:r/>
            <w:r>
              <w:rPr>
                <w:b/>
                <w:color w:val="20603D"/>
                <w:sz w:val="17"/>
              </w:rPr>
              <w:t>Dirección / nota</w:t>
            </w:r>
          </w:p>
        </w:tc>
      </w:tr>
      <w:tr>
        <w:trPr>
          <w:cantSplit/>
        </w:trPr>
        <w:tc>
          <w:tcPr>
            <w:tcW w:type="dxa" w:w="2494"/>
          </w:tcPr>
          <w:p>
            <w:r/>
            <w:r>
              <w:rPr>
                <w:sz w:val="17"/>
              </w:rPr>
              <w:t>aitsa_clients_silver</w:t>
            </w:r>
          </w:p>
        </w:tc>
        <w:tc>
          <w:tcPr>
            <w:tcW w:type="dxa" w:w="794"/>
          </w:tcPr>
          <w:p>
            <w:r/>
            <w:r>
              <w:rPr>
                <w:sz w:val="17"/>
              </w:rPr>
              <w:t>1 : N</w:t>
            </w:r>
          </w:p>
        </w:tc>
        <w:tc>
          <w:tcPr>
            <w:tcW w:type="dxa" w:w="2494"/>
          </w:tcPr>
          <w:p>
            <w:r/>
            <w:r>
              <w:rPr>
                <w:sz w:val="17"/>
              </w:rPr>
              <w:t>aitsa_erp_projects_silver</w:t>
            </w:r>
          </w:p>
        </w:tc>
        <w:tc>
          <w:tcPr>
            <w:tcW w:type="dxa" w:w="3855"/>
          </w:tcPr>
          <w:p>
            <w:r/>
            <w:r>
              <w:rPr>
                <w:sz w:val="17"/>
              </w:rPr>
              <w:t>Única, cliente → proyecto</w:t>
            </w:r>
          </w:p>
        </w:tc>
      </w:tr>
      <w:tr>
        <w:trPr>
          <w:cantSplit/>
        </w:trPr>
        <w:tc>
          <w:tcPr>
            <w:tcW w:type="dxa" w:w="2494"/>
          </w:tcPr>
          <w:p>
            <w:r/>
            <w:r>
              <w:rPr>
                <w:sz w:val="17"/>
              </w:rPr>
              <w:t>aitsa_facilities_silver</w:t>
            </w:r>
          </w:p>
        </w:tc>
        <w:tc>
          <w:tcPr>
            <w:tcW w:type="dxa" w:w="794"/>
          </w:tcPr>
          <w:p>
            <w:r/>
            <w:r>
              <w:rPr>
                <w:sz w:val="17"/>
              </w:rPr>
              <w:t>1 : N</w:t>
            </w:r>
          </w:p>
        </w:tc>
        <w:tc>
          <w:tcPr>
            <w:tcW w:type="dxa" w:w="2494"/>
          </w:tcPr>
          <w:p>
            <w:r/>
            <w:r>
              <w:rPr>
                <w:sz w:val="17"/>
              </w:rPr>
              <w:t>aitsa_erp_projects_silver</w:t>
            </w:r>
          </w:p>
        </w:tc>
        <w:tc>
          <w:tcPr>
            <w:tcW w:type="dxa" w:w="3855"/>
          </w:tcPr>
          <w:p>
            <w:r/>
            <w:r>
              <w:rPr>
                <w:sz w:val="17"/>
              </w:rPr>
              <w:t>Única, instalación → proyecto</w:t>
            </w:r>
          </w:p>
        </w:tc>
      </w:tr>
      <w:tr>
        <w:trPr>
          <w:cantSplit/>
        </w:trPr>
        <w:tc>
          <w:tcPr>
            <w:tcW w:type="dxa" w:w="2494"/>
          </w:tcPr>
          <w:p>
            <w:r/>
            <w:r>
              <w:rPr>
                <w:sz w:val="17"/>
              </w:rPr>
              <w:t>aitsa_erp_projects_silver</w:t>
            </w:r>
          </w:p>
        </w:tc>
        <w:tc>
          <w:tcPr>
            <w:tcW w:type="dxa" w:w="794"/>
          </w:tcPr>
          <w:p>
            <w:r/>
            <w:r>
              <w:rPr>
                <w:sz w:val="17"/>
              </w:rPr>
              <w:t>1 : N</w:t>
            </w:r>
          </w:p>
        </w:tc>
        <w:tc>
          <w:tcPr>
            <w:tcW w:type="dxa" w:w="2494"/>
          </w:tcPr>
          <w:p>
            <w:r/>
            <w:r>
              <w:rPr>
                <w:sz w:val="17"/>
              </w:rPr>
              <w:t>aitsa_financial_cashflow_silver</w:t>
            </w:r>
          </w:p>
        </w:tc>
        <w:tc>
          <w:tcPr>
            <w:tcW w:type="dxa" w:w="3855"/>
          </w:tcPr>
          <w:p>
            <w:r/>
            <w:r>
              <w:rPr>
                <w:sz w:val="17"/>
              </w:rPr>
              <w:t>Única, proyecto → factura</w:t>
            </w:r>
          </w:p>
        </w:tc>
      </w:tr>
      <w:tr>
        <w:trPr>
          <w:cantSplit/>
        </w:trPr>
        <w:tc>
          <w:tcPr>
            <w:tcW w:type="dxa" w:w="2494"/>
          </w:tcPr>
          <w:p>
            <w:r/>
            <w:r>
              <w:rPr>
                <w:sz w:val="17"/>
              </w:rPr>
              <w:t>aitsa_erp_projects_silver</w:t>
            </w:r>
          </w:p>
        </w:tc>
        <w:tc>
          <w:tcPr>
            <w:tcW w:type="dxa" w:w="794"/>
          </w:tcPr>
          <w:p>
            <w:r/>
            <w:r>
              <w:rPr>
                <w:sz w:val="17"/>
              </w:rPr>
              <w:t>1 : N</w:t>
            </w:r>
          </w:p>
        </w:tc>
        <w:tc>
          <w:tcPr>
            <w:tcW w:type="dxa" w:w="2494"/>
          </w:tcPr>
          <w:p>
            <w:r/>
            <w:r>
              <w:rPr>
                <w:sz w:val="17"/>
              </w:rPr>
              <w:t>aitsa_support_tickets_silver</w:t>
            </w:r>
          </w:p>
        </w:tc>
        <w:tc>
          <w:tcPr>
            <w:tcW w:type="dxa" w:w="3855"/>
          </w:tcPr>
          <w:p>
            <w:r/>
            <w:r>
              <w:rPr>
                <w:sz w:val="17"/>
              </w:rPr>
              <w:t>Única, proyecto → ticket</w:t>
            </w:r>
          </w:p>
        </w:tc>
      </w:tr>
      <w:tr>
        <w:trPr>
          <w:cantSplit/>
        </w:trPr>
        <w:tc>
          <w:tcPr>
            <w:tcW w:type="dxa" w:w="2494"/>
          </w:tcPr>
          <w:p>
            <w:r/>
            <w:r>
              <w:rPr>
                <w:sz w:val="17"/>
              </w:rPr>
              <w:t>dim_fecha</w:t>
            </w:r>
          </w:p>
        </w:tc>
        <w:tc>
          <w:tcPr>
            <w:tcW w:type="dxa" w:w="794"/>
          </w:tcPr>
          <w:p>
            <w:r/>
            <w:r>
              <w:rPr>
                <w:sz w:val="17"/>
              </w:rPr>
              <w:t>1 : N</w:t>
            </w:r>
          </w:p>
        </w:tc>
        <w:tc>
          <w:tcPr>
            <w:tcW w:type="dxa" w:w="2494"/>
          </w:tcPr>
          <w:p>
            <w:r/>
            <w:r>
              <w:rPr>
                <w:sz w:val="17"/>
              </w:rPr>
              <w:t>cashflow[fecha_factura] y tickets[fecha_apertura]</w:t>
            </w:r>
          </w:p>
        </w:tc>
        <w:tc>
          <w:tcPr>
            <w:tcW w:type="dxa" w:w="3855"/>
          </w:tcPr>
          <w:p>
            <w:r/>
            <w:r>
              <w:rPr>
                <w:sz w:val="17"/>
              </w:rPr>
              <w:t>Única, fecha → hecho</w:t>
            </w:r>
          </w:p>
        </w:tc>
      </w:tr>
    </w:tbl>
    <w:p>
      <w:pPr>
        <w:spacing w:after="40"/>
      </w:pPr>
    </w:p>
    <w:p>
      <w:pPr>
        <w:pStyle w:val="Heading2"/>
      </w:pPr>
      <w:r>
        <w:t>Evidencias que el equipo debe producir</w:t>
      </w:r>
    </w:p>
    <w:p>
      <w:pPr>
        <w:pStyle w:val="Heading3"/>
      </w:pPr>
      <w:r>
        <w:t>Evidencia 1. Margen antes y después de penalidades SLA, por proyecto y cliente.</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aitsa_erp_projects_silver</w:t>
            </w:r>
          </w:p>
        </w:tc>
        <w:tc>
          <w:tcPr>
            <w:tcW w:type="dxa" w:w="6520"/>
          </w:tcPr>
          <w:p>
            <w:r/>
            <w:r>
              <w:rPr>
                <w:sz w:val="17"/>
              </w:rPr>
              <w:t>project_id, client_id, costo_base_bob</w:t>
            </w:r>
          </w:p>
        </w:tc>
      </w:tr>
      <w:tr>
        <w:trPr>
          <w:cantSplit/>
        </w:trPr>
        <w:tc>
          <w:tcPr>
            <w:tcW w:type="dxa" w:w="3118"/>
          </w:tcPr>
          <w:p>
            <w:r/>
            <w:r>
              <w:rPr>
                <w:sz w:val="17"/>
              </w:rPr>
              <w:t>aitsa_financial_cashflow_silver</w:t>
            </w:r>
          </w:p>
        </w:tc>
        <w:tc>
          <w:tcPr>
            <w:tcW w:type="dxa" w:w="6520"/>
          </w:tcPr>
          <w:p>
            <w:r/>
            <w:r>
              <w:rPr>
                <w:sz w:val="17"/>
              </w:rPr>
              <w:t>project_id, monto_facturado_bob</w:t>
            </w:r>
          </w:p>
        </w:tc>
      </w:tr>
      <w:tr>
        <w:trPr>
          <w:cantSplit/>
        </w:trPr>
        <w:tc>
          <w:tcPr>
            <w:tcW w:type="dxa" w:w="3118"/>
          </w:tcPr>
          <w:p>
            <w:r/>
            <w:r>
              <w:rPr>
                <w:sz w:val="17"/>
              </w:rPr>
              <w:t>aitsa_support_tickets_silver</w:t>
            </w:r>
          </w:p>
        </w:tc>
        <w:tc>
          <w:tcPr>
            <w:tcW w:type="dxa" w:w="6520"/>
          </w:tcPr>
          <w:p>
            <w:r/>
            <w:r>
              <w:rPr>
                <w:sz w:val="17"/>
              </w:rPr>
              <w:t>project_id, penalidad_aplicada_bob</w:t>
            </w:r>
          </w:p>
        </w:tc>
      </w:tr>
      <w:tr>
        <w:trPr>
          <w:cantSplit/>
        </w:trPr>
        <w:tc>
          <w:tcPr>
            <w:tcW w:type="dxa" w:w="3118"/>
          </w:tcPr>
          <w:p>
            <w:r/>
            <w:r>
              <w:rPr>
                <w:sz w:val="17"/>
              </w:rPr>
              <w:t>aitsa_clients_silver</w:t>
            </w:r>
          </w:p>
        </w:tc>
        <w:tc>
          <w:tcPr>
            <w:tcW w:type="dxa" w:w="6520"/>
          </w:tcPr>
          <w:p>
            <w:r/>
            <w:r>
              <w:rPr>
                <w:sz w:val="17"/>
              </w:rPr>
              <w:t>sector_industrial, clasificacion_tier</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Relacionar proyectos (1) con facturas (N) y con tickets (N) por project_id; nunca fusionar facturas con tickets.</w:t>
      </w:r>
    </w:p>
    <w:p>
      <w:pPr>
        <w:pStyle w:val="ListParagraph"/>
        <w:spacing w:after="40"/>
      </w:pPr>
      <w:r>
        <w:rPr>
          <w:b/>
        </w:rPr>
        <w:t xml:space="preserve">2. </w:t>
      </w:r>
      <w:r>
        <w:rPr>
          <w:b w:val="0"/>
        </w:rPr>
        <w:t>Relacionar clientes (1) con proyectos (N).</w:t>
      </w:r>
    </w:p>
    <w:p>
      <w:pPr>
        <w:pStyle w:val="ListParagraph"/>
        <w:spacing w:after="40"/>
      </w:pPr>
      <w:r>
        <w:rPr>
          <w:b/>
        </w:rPr>
        <w:t xml:space="preserve">3. </w:t>
      </w:r>
      <w:r>
        <w:rPr>
          <w:b w:val="0"/>
        </w:rPr>
        <w:t>El margen por proyecto reproduce el objetivo del caso 01A del Módulo 3: margen_post_sla_pct = 100 × (facturación − costo base − penalidades) / facturación.</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Ingreso Real (Bs) = SUM ( aitsa_financial_cashflow_silver[monto_facturado_bob] )</w:t>
      </w:r>
    </w:p>
    <w:p>
      <w:pPr>
        <w:spacing w:after="0"/>
        <w:ind w:left="170"/>
        <w:shd w:val="clear" w:color="auto" w:fill="F2F5F3"/>
      </w:pPr>
      <w:r>
        <w:rPr>
          <w:rFonts w:ascii="Consolas" w:hAnsi="Consolas" w:eastAsia="Consolas"/>
          <w:sz w:val="16"/>
        </w:rPr>
        <w:t>Costo Base (Bs) = SUM ( aitsa_erp_projects_silver[costo_base_bob] )</w:t>
      </w:r>
    </w:p>
    <w:p>
      <w:pPr>
        <w:spacing w:after="0"/>
        <w:ind w:left="170"/>
        <w:shd w:val="clear" w:color="auto" w:fill="F2F5F3"/>
      </w:pPr>
      <w:r>
        <w:rPr>
          <w:rFonts w:ascii="Consolas" w:hAnsi="Consolas" w:eastAsia="Consolas"/>
          <w:sz w:val="16"/>
        </w:rPr>
        <w:t>Penalidad Total (Bs) = SUM ( aitsa_support_tickets_silver[penalidad_aplicada_bob] )</w:t>
      </w:r>
    </w:p>
    <w:p>
      <w:pPr>
        <w:spacing w:after="0"/>
        <w:ind w:left="170"/>
        <w:shd w:val="clear" w:color="auto" w:fill="F2F5F3"/>
      </w:pPr>
      <w:r>
        <w:rPr>
          <w:rFonts w:ascii="Consolas" w:hAnsi="Consolas" w:eastAsia="Consolas"/>
          <w:sz w:val="16"/>
        </w:rPr>
        <w:t>Margen Antes (Bs) = [Ingreso Real (Bs)] - [Costo Base (Bs)]</w:t>
      </w:r>
    </w:p>
    <w:p>
      <w:pPr>
        <w:spacing w:after="0"/>
        <w:ind w:left="170"/>
        <w:shd w:val="clear" w:color="auto" w:fill="F2F5F3"/>
      </w:pPr>
      <w:r>
        <w:rPr>
          <w:rFonts w:ascii="Consolas" w:hAnsi="Consolas" w:eastAsia="Consolas"/>
          <w:sz w:val="16"/>
        </w:rPr>
        <w:t>Margen Después (Bs) = [Margen Antes (Bs)] - [Penalidad Total (Bs)]</w:t>
      </w:r>
    </w:p>
    <w:p>
      <w:pPr>
        <w:spacing w:after="0"/>
        <w:ind w:left="170"/>
        <w:shd w:val="clear" w:color="auto" w:fill="F2F5F3"/>
      </w:pPr>
      <w:r>
        <w:rPr>
          <w:rFonts w:ascii="Consolas" w:hAnsi="Consolas" w:eastAsia="Consolas"/>
          <w:sz w:val="16"/>
        </w:rPr>
        <w:t>Margen % Antes = DIVIDE ( [Margen Antes (Bs)], [Ingreso Real (Bs)] )</w:t>
      </w:r>
    </w:p>
    <w:p>
      <w:pPr>
        <w:spacing w:after="0"/>
        <w:ind w:left="170"/>
        <w:shd w:val="clear" w:color="auto" w:fill="F2F5F3"/>
      </w:pPr>
      <w:r>
        <w:rPr>
          <w:rFonts w:ascii="Consolas" w:hAnsi="Consolas" w:eastAsia="Consolas"/>
          <w:sz w:val="16"/>
        </w:rPr>
        <w:t>Margen % Después = DIVIDE ( [Margen Después (Bs)], [Ingreso Real (Bs)]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Ingreso real total</w:t>
            </w:r>
          </w:p>
        </w:tc>
        <w:tc>
          <w:tcPr>
            <w:tcW w:type="dxa" w:w="4535"/>
          </w:tcPr>
          <w:p>
            <w:r/>
            <w:r>
              <w:rPr>
                <w:b/>
                <w:sz w:val="17"/>
              </w:rPr>
              <w:t>Bs 834.490.913,43</w:t>
            </w:r>
          </w:p>
        </w:tc>
      </w:tr>
      <w:tr>
        <w:trPr>
          <w:cantSplit/>
        </w:trPr>
        <w:tc>
          <w:tcPr>
            <w:tcW w:type="dxa" w:w="5102"/>
          </w:tcPr>
          <w:p>
            <w:r/>
            <w:r>
              <w:rPr>
                <w:sz w:val="17"/>
              </w:rPr>
              <w:t>Costo base total</w:t>
            </w:r>
          </w:p>
        </w:tc>
        <w:tc>
          <w:tcPr>
            <w:tcW w:type="dxa" w:w="4535"/>
          </w:tcPr>
          <w:p>
            <w:r/>
            <w:r>
              <w:rPr>
                <w:b/>
                <w:sz w:val="17"/>
              </w:rPr>
              <w:t>Bs 600.848.462,96</w:t>
            </w:r>
          </w:p>
        </w:tc>
      </w:tr>
      <w:tr>
        <w:trPr>
          <w:cantSplit/>
        </w:trPr>
        <w:tc>
          <w:tcPr>
            <w:tcW w:type="dxa" w:w="5102"/>
          </w:tcPr>
          <w:p>
            <w:r/>
            <w:r>
              <w:rPr>
                <w:sz w:val="17"/>
              </w:rPr>
              <w:t>Penalidades totales</w:t>
            </w:r>
          </w:p>
        </w:tc>
        <w:tc>
          <w:tcPr>
            <w:tcW w:type="dxa" w:w="4535"/>
          </w:tcPr>
          <w:p>
            <w:r/>
            <w:r>
              <w:rPr>
                <w:b/>
                <w:sz w:val="17"/>
              </w:rPr>
              <w:t>Bs 3.457.473,13</w:t>
            </w:r>
          </w:p>
        </w:tc>
      </w:tr>
      <w:tr>
        <w:trPr>
          <w:cantSplit/>
        </w:trPr>
        <w:tc>
          <w:tcPr>
            <w:tcW w:type="dxa" w:w="5102"/>
          </w:tcPr>
          <w:p>
            <w:r/>
            <w:r>
              <w:rPr>
                <w:sz w:val="17"/>
              </w:rPr>
              <w:t>Margen % antes / después (portafolio)</w:t>
            </w:r>
          </w:p>
        </w:tc>
        <w:tc>
          <w:tcPr>
            <w:tcW w:type="dxa" w:w="4535"/>
          </w:tcPr>
          <w:p>
            <w:r/>
            <w:r>
              <w:rPr>
                <w:b/>
                <w:sz w:val="17"/>
              </w:rPr>
              <w:t>27,99 % / 27,58 %</w:t>
            </w:r>
          </w:p>
        </w:tc>
      </w:tr>
      <w:tr>
        <w:trPr>
          <w:cantSplit/>
        </w:trPr>
        <w:tc>
          <w:tcPr>
            <w:tcW w:type="dxa" w:w="5102"/>
          </w:tcPr>
          <w:p>
            <w:r/>
            <w:r>
              <w:rPr>
                <w:sz w:val="17"/>
              </w:rPr>
              <w:t>Mediana del margen % después, por proyecto</w:t>
            </w:r>
          </w:p>
        </w:tc>
        <w:tc>
          <w:tcPr>
            <w:tcW w:type="dxa" w:w="4535"/>
          </w:tcPr>
          <w:p>
            <w:r/>
            <w:r>
              <w:rPr>
                <w:b/>
                <w:sz w:val="17"/>
              </w:rPr>
              <w:t>28,54 %</w:t>
            </w:r>
          </w:p>
        </w:tc>
      </w:tr>
      <w:tr>
        <w:trPr>
          <w:cantSplit/>
        </w:trPr>
        <w:tc>
          <w:tcPr>
            <w:tcW w:type="dxa" w:w="5102"/>
          </w:tcPr>
          <w:p>
            <w:r/>
            <w:r>
              <w:rPr>
                <w:sz w:val="17"/>
              </w:rPr>
              <w:t>Proyectos con margen después negativo</w:t>
            </w:r>
          </w:p>
        </w:tc>
        <w:tc>
          <w:tcPr>
            <w:tcW w:type="dxa" w:w="4535"/>
          </w:tcPr>
          <w:p>
            <w:r/>
            <w:r>
              <w:rPr>
                <w:b/>
                <w:sz w:val="17"/>
              </w:rPr>
              <w:t>0</w:t>
            </w:r>
          </w:p>
        </w:tc>
      </w:tr>
      <w:tr>
        <w:trPr>
          <w:cantSplit/>
        </w:trPr>
        <w:tc>
          <w:tcPr>
            <w:tcW w:type="dxa" w:w="5102"/>
          </w:tcPr>
          <w:p>
            <w:r/>
            <w:r>
              <w:rPr>
                <w:sz w:val="17"/>
              </w:rPr>
              <w:t>Margen % después por tier</w:t>
            </w:r>
          </w:p>
        </w:tc>
        <w:tc>
          <w:tcPr>
            <w:tcW w:type="dxa" w:w="4535"/>
          </w:tcPr>
          <w:p>
            <w:r/>
            <w:r>
              <w:rPr>
                <w:b/>
                <w:sz w:val="17"/>
              </w:rPr>
              <w:t>Gold 27,76 % · Bronze 27,70 % · Silver 27,39 %</w:t>
            </w:r>
          </w:p>
        </w:tc>
      </w:tr>
    </w:tbl>
    <w:p>
      <w:pPr>
        <w:spacing w:after="40"/>
      </w:pPr>
    </w:p>
    <w:p>
      <w:pPr>
        <w:spacing w:after="120"/>
      </w:pPr>
      <w:r>
        <w:rPr>
          <w:b/>
          <w:color w:val="B04A1A"/>
        </w:rPr>
        <w:t xml:space="preserve">Riesgo a vigilar: </w:t>
      </w:r>
      <w:r>
        <w:rPr>
          <w:b w:val="0"/>
        </w:rPr>
        <w:t>costo_base_bob vive en la tabla de proyectos, que no está relacionada con dim_fecha. Si el visual filtra por mes o año, el ingreso y la penalidad se filtran pero el costo base no, y el margen por periodo sale falso. Analice el margen por proyecto, cliente o tier; para verlo por año use el año de inicio del proyecto (columna de la propia tabla) y no la fecha de factura. No relacione dim_fecha también con proyectos: crearía dos caminos de fecha hacia las facturas.</w:t>
      </w:r>
    </w:p>
    <w:p>
      <w:pPr>
        <w:pStyle w:val="Heading3"/>
      </w:pPr>
      <w:r>
        <w:t>Evidencia 2. Segmentación de clientes por sector industrial, tier y facturación recurrente.</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aitsa_clients_silver</w:t>
            </w:r>
          </w:p>
        </w:tc>
        <w:tc>
          <w:tcPr>
            <w:tcW w:type="dxa" w:w="6520"/>
          </w:tcPr>
          <w:p>
            <w:r/>
            <w:r>
              <w:rPr>
                <w:sz w:val="17"/>
              </w:rPr>
              <w:t>client_id, sector_industrial, clasificacion_tier, facturacion_recurrente_mensual_bob</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No hace falta ninguna relación nueva: sector y tier son columnas de la dimensión de clientes.</w:t>
      </w:r>
    </w:p>
    <w:p>
      <w:pPr>
        <w:pStyle w:val="ListParagraph"/>
        <w:spacing w:after="40"/>
      </w:pPr>
      <w:r>
        <w:rPr>
          <w:b/>
        </w:rPr>
        <w:t xml:space="preserve">2. </w:t>
      </w:r>
      <w:r>
        <w:rPr>
          <w:b w:val="0"/>
        </w:rPr>
        <w:t>Construir la matriz con sector y tier en filas y columnas, y las medidas de la evidencia 1 como valores.</w:t>
      </w:r>
    </w:p>
    <w:p>
      <w:pPr>
        <w:pStyle w:val="ListParagraph"/>
        <w:spacing w:after="40"/>
      </w:pPr>
      <w:r>
        <w:rPr>
          <w:b/>
        </w:rPr>
        <w:t xml:space="preserve">3. </w:t>
      </w:r>
      <w:r>
        <w:rPr>
          <w:b w:val="0"/>
        </w:rPr>
        <w:t>Activar «Mostrar elementos sin datos» para ver también a los clientes sin proyectos.</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N Clientes = DISTINCTCOUNT ( aitsa_clients_silver[client_id] )</w:t>
      </w:r>
    </w:p>
    <w:p>
      <w:pPr>
        <w:spacing w:after="0"/>
        <w:ind w:left="170"/>
        <w:shd w:val="clear" w:color="auto" w:fill="F2F5F3"/>
      </w:pPr>
      <w:r>
        <w:rPr>
          <w:rFonts w:ascii="Consolas" w:hAnsi="Consolas" w:eastAsia="Consolas"/>
          <w:sz w:val="16"/>
        </w:rPr>
        <w:t>N Clientes con Proyecto = CALCULATE ( DISTINCTCOUNT ( aitsa_erp_projects_silver[client_id] ) )</w:t>
      </w:r>
    </w:p>
    <w:p>
      <w:pPr>
        <w:spacing w:after="0"/>
        <w:ind w:left="170"/>
        <w:shd w:val="clear" w:color="auto" w:fill="F2F5F3"/>
      </w:pPr>
      <w:r>
        <w:rPr>
          <w:rFonts w:ascii="Consolas" w:hAnsi="Consolas" w:eastAsia="Consolas"/>
          <w:sz w:val="16"/>
        </w:rPr>
        <w:t>Facturación Recurrente Promedio (Bs) = AVERAGE ( aitsa_clients_silver[facturacion_recurrente_mensual_bob]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Clientes</w:t>
            </w:r>
          </w:p>
        </w:tc>
        <w:tc>
          <w:tcPr>
            <w:tcW w:type="dxa" w:w="4535"/>
          </w:tcPr>
          <w:p>
            <w:r/>
            <w:r>
              <w:rPr>
                <w:b/>
                <w:sz w:val="17"/>
              </w:rPr>
              <w:t>120 (Bronze 42 · Silver 47 · Gold 31)</w:t>
            </w:r>
          </w:p>
        </w:tc>
      </w:tr>
      <w:tr>
        <w:trPr>
          <w:cantSplit/>
        </w:trPr>
        <w:tc>
          <w:tcPr>
            <w:tcW w:type="dxa" w:w="5102"/>
          </w:tcPr>
          <w:p>
            <w:r/>
            <w:r>
              <w:rPr>
                <w:sz w:val="17"/>
              </w:rPr>
              <w:t>Clientes sin ningún proyecto</w:t>
            </w:r>
          </w:p>
        </w:tc>
        <w:tc>
          <w:tcPr>
            <w:tcW w:type="dxa" w:w="4535"/>
          </w:tcPr>
          <w:p>
            <w:r/>
            <w:r>
              <w:rPr>
                <w:b/>
                <w:sz w:val="17"/>
              </w:rPr>
              <w:t>30</w:t>
            </w:r>
          </w:p>
        </w:tc>
      </w:tr>
      <w:tr>
        <w:trPr>
          <w:cantSplit/>
        </w:trPr>
        <w:tc>
          <w:tcPr>
            <w:tcW w:type="dxa" w:w="5102"/>
          </w:tcPr>
          <w:p>
            <w:r/>
            <w:r>
              <w:rPr>
                <w:sz w:val="17"/>
              </w:rPr>
              <w:t>Facturación recurrente promedio por sector</w:t>
            </w:r>
          </w:p>
        </w:tc>
        <w:tc>
          <w:tcPr>
            <w:tcW w:type="dxa" w:w="4535"/>
          </w:tcPr>
          <w:p>
            <w:r/>
            <w:r>
              <w:rPr>
                <w:b/>
                <w:sz w:val="17"/>
              </w:rPr>
              <w:t>Química 79.786,58 · Minería 75.977,99 · Telecomunicaciones 65.622,73 · Alimentos 61.611,47 · Manufactura 52.013,24 · Energía 47.712,86</w:t>
            </w:r>
          </w:p>
        </w:tc>
      </w:tr>
    </w:tbl>
    <w:p>
      <w:pPr>
        <w:spacing w:after="40"/>
      </w:pPr>
    </w:p>
    <w:p>
      <w:pPr>
        <w:spacing w:after="120"/>
      </w:pPr>
      <w:r>
        <w:rPr>
          <w:b/>
          <w:color w:val="B04A1A"/>
        </w:rPr>
        <w:t xml:space="preserve">Riesgo a vigilar: </w:t>
      </w:r>
      <w:r>
        <w:rPr>
          <w:b w:val="0"/>
        </w:rPr>
        <w:t>30 de los 120 clientes no tienen proyectos. Si la matriz se construye desde la tabla de proyectos o de facturas, esos clientes desaparecen sin aviso. Construya el visual desde la dimensión de clientes.</w:t>
      </w:r>
    </w:p>
    <w:p>
      <w:pPr>
        <w:pStyle w:val="Heading3"/>
      </w:pPr>
      <w:r>
        <w:t>Evidencia 3. Proyectos con mayor exposición conjunta a retrasos, retrabajo, mora y penalidades.</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aitsa_erp_projects_silver</w:t>
            </w:r>
          </w:p>
        </w:tc>
        <w:tc>
          <w:tcPr>
            <w:tcW w:type="dxa" w:w="6520"/>
          </w:tcPr>
          <w:p>
            <w:r/>
            <w:r>
              <w:rPr>
                <w:sz w:val="17"/>
              </w:rPr>
              <w:t>retraso_dias, horas_retrabajo</w:t>
            </w:r>
          </w:p>
        </w:tc>
      </w:tr>
      <w:tr>
        <w:trPr>
          <w:cantSplit/>
        </w:trPr>
        <w:tc>
          <w:tcPr>
            <w:tcW w:type="dxa" w:w="3118"/>
          </w:tcPr>
          <w:p>
            <w:r/>
            <w:r>
              <w:rPr>
                <w:sz w:val="17"/>
              </w:rPr>
              <w:t>aitsa_financial_cashflow_silver</w:t>
            </w:r>
          </w:p>
        </w:tc>
        <w:tc>
          <w:tcPr>
            <w:tcW w:type="dxa" w:w="6520"/>
          </w:tcPr>
          <w:p>
            <w:r/>
            <w:r>
              <w:rPr>
                <w:sz w:val="17"/>
              </w:rPr>
              <w:t>dias_mora_cobro</w:t>
            </w:r>
          </w:p>
        </w:tc>
      </w:tr>
      <w:tr>
        <w:trPr>
          <w:cantSplit/>
        </w:trPr>
        <w:tc>
          <w:tcPr>
            <w:tcW w:type="dxa" w:w="3118"/>
          </w:tcPr>
          <w:p>
            <w:r/>
            <w:r>
              <w:rPr>
                <w:sz w:val="17"/>
              </w:rPr>
              <w:t>aitsa_support_tickets_silver</w:t>
            </w:r>
          </w:p>
        </w:tc>
        <w:tc>
          <w:tcPr>
            <w:tcW w:type="dxa" w:w="6520"/>
          </w:tcPr>
          <w:p>
            <w:r/>
            <w:r>
              <w:rPr>
                <w:sz w:val="17"/>
              </w:rPr>
              <w:t>penalidad_aplicada_bob</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Reutilizar las relaciones de la evidencia 1.</w:t>
      </w:r>
    </w:p>
    <w:p>
      <w:pPr>
        <w:pStyle w:val="ListParagraph"/>
        <w:spacing w:after="40"/>
      </w:pPr>
      <w:r>
        <w:rPr>
          <w:b/>
        </w:rPr>
        <w:t xml:space="preserve">2. </w:t>
      </w:r>
      <w:r>
        <w:rPr>
          <w:b w:val="0"/>
        </w:rPr>
        <w:t>Retraso y retrabajo son columnas de la tabla de proyectos: su mínimo y máximo global se toman con ALL() sobre esa tabla.</w:t>
      </w:r>
    </w:p>
    <w:p>
      <w:pPr>
        <w:pStyle w:val="ListParagraph"/>
        <w:spacing w:after="40"/>
      </w:pPr>
      <w:r>
        <w:rPr>
          <w:b/>
        </w:rPr>
        <w:t xml:space="preserve">3. </w:t>
      </w:r>
      <w:r>
        <w:rPr>
          <w:b w:val="0"/>
        </w:rPr>
        <w:t>Mora y penalidad vienen de tablas de hechos: su mínimo y máximo se toman sobre una tabla virtual con un valor por proyecto.</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Mora Promedio (días) = AVERAGE ( aitsa_financial_cashflow_silver[dias_mora_cobro] )</w:t>
      </w:r>
    </w:p>
    <w:p>
      <w:pPr>
        <w:spacing w:after="0"/>
        <w:ind w:left="170"/>
        <w:shd w:val="clear" w:color="auto" w:fill="F2F5F3"/>
      </w:pPr>
      <w:r>
        <w:rPr>
          <w:rFonts w:ascii="Consolas" w:hAnsi="Consolas" w:eastAsia="Consolas"/>
          <w:sz w:val="16"/>
        </w:rPr>
        <w:t xml:space="preserve"> </w:t>
      </w:r>
    </w:p>
    <w:p>
      <w:pPr>
        <w:spacing w:after="0"/>
        <w:ind w:left="170"/>
        <w:shd w:val="clear" w:color="auto" w:fill="F2F5F3"/>
      </w:pPr>
      <w:r>
        <w:rPr>
          <w:rFonts w:ascii="Consolas" w:hAnsi="Consolas" w:eastAsia="Consolas"/>
          <w:sz w:val="16"/>
        </w:rPr>
        <w:t>Retraso Norm =</w:t>
      </w:r>
    </w:p>
    <w:p>
      <w:pPr>
        <w:spacing w:after="0"/>
        <w:ind w:left="170"/>
        <w:shd w:val="clear" w:color="auto" w:fill="F2F5F3"/>
      </w:pPr>
      <w:r>
        <w:rPr>
          <w:rFonts w:ascii="Consolas" w:hAnsi="Consolas" w:eastAsia="Consolas"/>
          <w:sz w:val="16"/>
        </w:rPr>
        <w:t>VAR v = SUM ( aitsa_erp_projects_silver[retraso_dias] )</w:t>
      </w:r>
    </w:p>
    <w:p>
      <w:pPr>
        <w:spacing w:after="0"/>
        <w:ind w:left="170"/>
        <w:shd w:val="clear" w:color="auto" w:fill="F2F5F3"/>
      </w:pPr>
      <w:r>
        <w:rPr>
          <w:rFonts w:ascii="Consolas" w:hAnsi="Consolas" w:eastAsia="Consolas"/>
          <w:sz w:val="16"/>
        </w:rPr>
        <w:t>VAR mn = CALCULATE ( MIN ( aitsa_erp_projects_silver[retraso_dias] ), ALL ( aitsa_erp_projects_silver ) )</w:t>
      </w:r>
    </w:p>
    <w:p>
      <w:pPr>
        <w:spacing w:after="0"/>
        <w:ind w:left="170"/>
        <w:shd w:val="clear" w:color="auto" w:fill="F2F5F3"/>
      </w:pPr>
      <w:r>
        <w:rPr>
          <w:rFonts w:ascii="Consolas" w:hAnsi="Consolas" w:eastAsia="Consolas"/>
          <w:sz w:val="16"/>
        </w:rPr>
        <w:t>VAR mx = CALCULATE ( MAX ( aitsa_erp_projects_silver[retraso_dias] ), ALL ( aitsa_erp_projects_silver ) )</w:t>
      </w:r>
    </w:p>
    <w:p>
      <w:pPr>
        <w:spacing w:after="0"/>
        <w:ind w:left="170"/>
        <w:shd w:val="clear" w:color="auto" w:fill="F2F5F3"/>
      </w:pPr>
      <w:r>
        <w:rPr>
          <w:rFonts w:ascii="Consolas" w:hAnsi="Consolas" w:eastAsia="Consolas"/>
          <w:sz w:val="16"/>
        </w:rPr>
        <w:t>RETURN DIVIDE ( v - mn, mx - mn )</w:t>
      </w:r>
    </w:p>
    <w:p>
      <w:pPr>
        <w:spacing w:after="0"/>
        <w:ind w:left="170"/>
        <w:shd w:val="clear" w:color="auto" w:fill="F2F5F3"/>
      </w:pPr>
      <w:r>
        <w:rPr>
          <w:rFonts w:ascii="Consolas" w:hAnsi="Consolas" w:eastAsia="Consolas"/>
          <w:sz w:val="16"/>
        </w:rPr>
        <w:t>-- Retrabajo Norm: mismo patrón con horas_retrabajo</w:t>
      </w:r>
    </w:p>
    <w:p>
      <w:pPr>
        <w:spacing w:after="0"/>
        <w:ind w:left="170"/>
        <w:shd w:val="clear" w:color="auto" w:fill="F2F5F3"/>
      </w:pPr>
      <w:r>
        <w:rPr>
          <w:rFonts w:ascii="Consolas" w:hAnsi="Consolas" w:eastAsia="Consolas"/>
          <w:sz w:val="16"/>
        </w:rPr>
        <w:t xml:space="preserve"> </w:t>
      </w:r>
    </w:p>
    <w:p>
      <w:pPr>
        <w:spacing w:after="0"/>
        <w:ind w:left="170"/>
        <w:shd w:val="clear" w:color="auto" w:fill="F2F5F3"/>
      </w:pPr>
      <w:r>
        <w:rPr>
          <w:rFonts w:ascii="Consolas" w:hAnsi="Consolas" w:eastAsia="Consolas"/>
          <w:sz w:val="16"/>
        </w:rPr>
        <w:t>Mora Norm =</w:t>
      </w:r>
    </w:p>
    <w:p>
      <w:pPr>
        <w:spacing w:after="0"/>
        <w:ind w:left="170"/>
        <w:shd w:val="clear" w:color="auto" w:fill="F2F5F3"/>
      </w:pPr>
      <w:r>
        <w:rPr>
          <w:rFonts w:ascii="Consolas" w:hAnsi="Consolas" w:eastAsia="Consolas"/>
          <w:sz w:val="16"/>
        </w:rPr>
        <w:t>VAR t = ADDCOLUMNS ( ALL ( aitsa_erp_projects_silver[project_id] ), "m", CALCULATE ( [Mora Promedio (días)] ) )</w:t>
      </w:r>
    </w:p>
    <w:p>
      <w:pPr>
        <w:spacing w:after="0"/>
        <w:ind w:left="170"/>
        <w:shd w:val="clear" w:color="auto" w:fill="F2F5F3"/>
      </w:pPr>
      <w:r>
        <w:rPr>
          <w:rFonts w:ascii="Consolas" w:hAnsi="Consolas" w:eastAsia="Consolas"/>
          <w:sz w:val="16"/>
        </w:rPr>
        <w:t>VAR mn = MINX ( t, [m] )</w:t>
      </w:r>
    </w:p>
    <w:p>
      <w:pPr>
        <w:spacing w:after="0"/>
        <w:ind w:left="170"/>
        <w:shd w:val="clear" w:color="auto" w:fill="F2F5F3"/>
      </w:pPr>
      <w:r>
        <w:rPr>
          <w:rFonts w:ascii="Consolas" w:hAnsi="Consolas" w:eastAsia="Consolas"/>
          <w:sz w:val="16"/>
        </w:rPr>
        <w:t>VAR mx = MAXX ( t, [m] )</w:t>
      </w:r>
    </w:p>
    <w:p>
      <w:pPr>
        <w:spacing w:after="0"/>
        <w:ind w:left="170"/>
        <w:shd w:val="clear" w:color="auto" w:fill="F2F5F3"/>
      </w:pPr>
      <w:r>
        <w:rPr>
          <w:rFonts w:ascii="Consolas" w:hAnsi="Consolas" w:eastAsia="Consolas"/>
          <w:sz w:val="16"/>
        </w:rPr>
        <w:t>RETURN DIVIDE ( [Mora Promedio (días)] - mn, mx - mn )</w:t>
      </w:r>
    </w:p>
    <w:p>
      <w:pPr>
        <w:spacing w:after="0"/>
        <w:ind w:left="170"/>
        <w:shd w:val="clear" w:color="auto" w:fill="F2F5F3"/>
      </w:pPr>
      <w:r>
        <w:rPr>
          <w:rFonts w:ascii="Consolas" w:hAnsi="Consolas" w:eastAsia="Consolas"/>
          <w:sz w:val="16"/>
        </w:rPr>
        <w:t>-- Penalidad Norm: mismo patrón con [Penalidad Total (Bs)]</w:t>
      </w:r>
    </w:p>
    <w:p>
      <w:pPr>
        <w:spacing w:after="0"/>
        <w:ind w:left="170"/>
        <w:shd w:val="clear" w:color="auto" w:fill="F2F5F3"/>
      </w:pPr>
      <w:r>
        <w:rPr>
          <w:rFonts w:ascii="Consolas" w:hAnsi="Consolas" w:eastAsia="Consolas"/>
          <w:sz w:val="16"/>
        </w:rPr>
        <w:t xml:space="preserve"> </w:t>
      </w:r>
    </w:p>
    <w:p>
      <w:pPr>
        <w:spacing w:after="0"/>
        <w:ind w:left="170"/>
        <w:shd w:val="clear" w:color="auto" w:fill="F2F5F3"/>
      </w:pPr>
      <w:r>
        <w:rPr>
          <w:rFonts w:ascii="Consolas" w:hAnsi="Consolas" w:eastAsia="Consolas"/>
          <w:sz w:val="16"/>
        </w:rPr>
        <w:t>Índice Exposición = [Retraso Norm] + [Retrabajo Norm] + [Mora Norm] + [Penalidad Norm]</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Índice máximo</w:t>
            </w:r>
          </w:p>
        </w:tc>
        <w:tc>
          <w:tcPr>
            <w:tcW w:type="dxa" w:w="4535"/>
          </w:tcPr>
          <w:p>
            <w:r/>
            <w:r>
              <w:rPr>
                <w:b/>
                <w:sz w:val="17"/>
              </w:rPr>
              <w:t>2,311 (PRJ-00144)</w:t>
            </w:r>
          </w:p>
        </w:tc>
      </w:tr>
      <w:tr>
        <w:trPr>
          <w:cantSplit/>
        </w:trPr>
        <w:tc>
          <w:tcPr>
            <w:tcW w:type="dxa" w:w="5102"/>
          </w:tcPr>
          <w:p>
            <w:r/>
            <w:r>
              <w:rPr>
                <w:sz w:val="17"/>
              </w:rPr>
              <w:t>Siguientes</w:t>
            </w:r>
          </w:p>
        </w:tc>
        <w:tc>
          <w:tcPr>
            <w:tcW w:type="dxa" w:w="4535"/>
          </w:tcPr>
          <w:p>
            <w:r/>
            <w:r>
              <w:rPr>
                <w:b/>
                <w:sz w:val="17"/>
              </w:rPr>
              <w:t>PRJ-00126 2,063 · PRJ-00431 1,944 · PRJ-00607 1,941 · PRJ-01065 1,907</w:t>
            </w:r>
          </w:p>
        </w:tc>
      </w:tr>
      <w:tr>
        <w:trPr>
          <w:cantSplit/>
        </w:trPr>
        <w:tc>
          <w:tcPr>
            <w:tcW w:type="dxa" w:w="5102"/>
          </w:tcPr>
          <w:p>
            <w:r/>
            <w:r>
              <w:rPr>
                <w:sz w:val="17"/>
              </w:rPr>
              <w:t>Mediana del índice</w:t>
            </w:r>
          </w:p>
        </w:tc>
        <w:tc>
          <w:tcPr>
            <w:tcW w:type="dxa" w:w="4535"/>
          </w:tcPr>
          <w:p>
            <w:r/>
            <w:r>
              <w:rPr>
                <w:b/>
                <w:sz w:val="17"/>
              </w:rPr>
              <w:t>0,938</w:t>
            </w:r>
          </w:p>
        </w:tc>
      </w:tr>
    </w:tbl>
    <w:p>
      <w:pPr>
        <w:spacing w:after="40"/>
      </w:pPr>
    </w:p>
    <w:p>
      <w:pPr>
        <w:spacing w:after="120"/>
      </w:pPr>
      <w:r>
        <w:rPr>
          <w:b/>
          <w:color w:val="B04A1A"/>
        </w:rPr>
        <w:t xml:space="preserve">Riesgo a vigilar: </w:t>
      </w:r>
      <w:r>
        <w:rPr>
          <w:b w:val="0"/>
        </w:rPr>
        <w:t>El índice solo tiene sentido en una tabla con un proyecto por fila. En un total o en una fila de cliente suma los componentes de varios proyectos y deja de estar entre 0 y 4. Sin ALL(), cada proyecto se normaliza contra sí mismo y el resultado es siempre 0.</w:t>
      </w:r>
    </w:p>
    <w:p>
      <w:r>
        <w:br w:type="page"/>
      </w:r>
    </w:p>
    <w:p>
      <w:pPr>
        <w:pStyle w:val="Heading1"/>
      </w:pPr>
      <w:r>
        <w:t>Subcaso 01B — Dirección de Operaciones y PMO</w:t>
      </w:r>
    </w:p>
    <w:p>
      <w:r>
        <w:rPr>
          <w:b/>
        </w:rPr>
        <w:t xml:space="preserve">Caso 01 — AITSA  ·  Mandato: </w:t>
      </w:r>
      <w:r>
        <w:t>Explicar la estabilidad operativa de las plantas y mejorar la asignación de técnicos según especialidad, certificación, carga y criticidad del ticket.</w:t>
      </w:r>
    </w:p>
    <w:p>
      <w:r>
        <w:rPr>
          <w:b/>
        </w:rPr>
        <w:t xml:space="preserve">Cruce: </w:t>
      </w:r>
      <w:r>
        <w:t>Instalaciones → telemetría, SCADA y proyectos; proyectos → tickets; técnicos → tickets y asignaciones.</w:t>
      </w:r>
    </w:p>
    <w:p>
      <w:pPr>
        <w:pStyle w:val="Heading2"/>
      </w:pPr>
      <w:r>
        <w:t>Tablas y su rol en el modelo de datos</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608"/>
        <w:gridCol w:w="1701"/>
        <w:gridCol w:w="2608"/>
        <w:gridCol w:w="2721"/>
      </w:tblGrid>
      <w:tr>
        <w:trPr>
          <w:cantSplit/>
          <w:tblHeader/>
        </w:trPr>
        <w:tc>
          <w:tcPr>
            <w:tcW w:type="dxa" w:w="2608"/>
            <w:shd w:val="clear" w:color="auto" w:fill="DCEEE2"/>
          </w:tcPr>
          <w:p>
            <w:r/>
            <w:r>
              <w:rPr>
                <w:b/>
                <w:color w:val="20603D"/>
                <w:sz w:val="17"/>
              </w:rPr>
              <w:t>Tabla</w:t>
            </w:r>
          </w:p>
        </w:tc>
        <w:tc>
          <w:tcPr>
            <w:tcW w:type="dxa" w:w="1701"/>
            <w:shd w:val="clear" w:color="auto" w:fill="DCEEE2"/>
          </w:tcPr>
          <w:p>
            <w:r/>
            <w:r>
              <w:rPr>
                <w:b/>
                <w:color w:val="20603D"/>
                <w:sz w:val="17"/>
              </w:rPr>
              <w:t>Grano (filas)</w:t>
            </w:r>
          </w:p>
        </w:tc>
        <w:tc>
          <w:tcPr>
            <w:tcW w:type="dxa" w:w="2608"/>
            <w:shd w:val="clear" w:color="auto" w:fill="DCEEE2"/>
          </w:tcPr>
          <w:p>
            <w:r/>
            <w:r>
              <w:rPr>
                <w:b/>
                <w:color w:val="20603D"/>
                <w:sz w:val="17"/>
              </w:rPr>
              <w:t>Rol</w:t>
            </w:r>
          </w:p>
        </w:tc>
        <w:tc>
          <w:tcPr>
            <w:tcW w:type="dxa" w:w="2721"/>
            <w:shd w:val="clear" w:color="auto" w:fill="DCEEE2"/>
          </w:tcPr>
          <w:p>
            <w:r/>
            <w:r>
              <w:rPr>
                <w:b/>
                <w:color w:val="20603D"/>
                <w:sz w:val="17"/>
              </w:rPr>
              <w:t>Claves</w:t>
            </w:r>
          </w:p>
        </w:tc>
      </w:tr>
      <w:tr>
        <w:trPr>
          <w:cantSplit/>
        </w:trPr>
        <w:tc>
          <w:tcPr>
            <w:tcW w:type="dxa" w:w="2608"/>
          </w:tcPr>
          <w:p>
            <w:r/>
            <w:r>
              <w:rPr>
                <w:sz w:val="17"/>
              </w:rPr>
              <w:t>aitsa_support_tickets_silver</w:t>
            </w:r>
          </w:p>
        </w:tc>
        <w:tc>
          <w:tcPr>
            <w:tcW w:type="dxa" w:w="1701"/>
          </w:tcPr>
          <w:p>
            <w:r/>
            <w:r>
              <w:rPr>
                <w:sz w:val="17"/>
              </w:rPr>
              <w:t>1 ticket (7.588)</w:t>
            </w:r>
          </w:p>
        </w:tc>
        <w:tc>
          <w:tcPr>
            <w:tcW w:type="dxa" w:w="2608"/>
          </w:tcPr>
          <w:p>
            <w:r/>
            <w:r>
              <w:rPr>
                <w:sz w:val="17"/>
              </w:rPr>
              <w:t>Hecho</w:t>
            </w:r>
          </w:p>
        </w:tc>
        <w:tc>
          <w:tcPr>
            <w:tcW w:type="dxa" w:w="2721"/>
          </w:tcPr>
          <w:p>
            <w:r/>
            <w:r>
              <w:rPr>
                <w:sz w:val="17"/>
              </w:rPr>
              <w:t>project_id, tecnico_id_asignado</w:t>
            </w:r>
          </w:p>
        </w:tc>
      </w:tr>
      <w:tr>
        <w:trPr>
          <w:cantSplit/>
        </w:trPr>
        <w:tc>
          <w:tcPr>
            <w:tcW w:type="dxa" w:w="2608"/>
          </w:tcPr>
          <w:p>
            <w:r/>
            <w:r>
              <w:rPr>
                <w:sz w:val="17"/>
              </w:rPr>
              <w:t>aitsa_technicians_silver</w:t>
            </w:r>
          </w:p>
        </w:tc>
        <w:tc>
          <w:tcPr>
            <w:tcW w:type="dxa" w:w="1701"/>
          </w:tcPr>
          <w:p>
            <w:r/>
            <w:r>
              <w:rPr>
                <w:sz w:val="17"/>
              </w:rPr>
              <w:t>1 técnico (150)</w:t>
            </w:r>
          </w:p>
        </w:tc>
        <w:tc>
          <w:tcPr>
            <w:tcW w:type="dxa" w:w="2608"/>
          </w:tcPr>
          <w:p>
            <w:r/>
            <w:r>
              <w:rPr>
                <w:sz w:val="17"/>
              </w:rPr>
              <w:t>Dimensión</w:t>
            </w:r>
          </w:p>
        </w:tc>
        <w:tc>
          <w:tcPr>
            <w:tcW w:type="dxa" w:w="2721"/>
          </w:tcPr>
          <w:p>
            <w:r/>
            <w:r>
              <w:rPr>
                <w:sz w:val="17"/>
              </w:rPr>
              <w:t>tecnico_id (PK); nivel_certificacion 1–4</w:t>
            </w:r>
          </w:p>
        </w:tc>
      </w:tr>
      <w:tr>
        <w:trPr>
          <w:cantSplit/>
        </w:trPr>
        <w:tc>
          <w:tcPr>
            <w:tcW w:type="dxa" w:w="2608"/>
          </w:tcPr>
          <w:p>
            <w:r/>
            <w:r>
              <w:rPr>
                <w:sz w:val="17"/>
              </w:rPr>
              <w:t>aitsa_hr_costs_silver</w:t>
            </w:r>
          </w:p>
        </w:tc>
        <w:tc>
          <w:tcPr>
            <w:tcW w:type="dxa" w:w="1701"/>
          </w:tcPr>
          <w:p>
            <w:r/>
            <w:r>
              <w:rPr>
                <w:sz w:val="17"/>
              </w:rPr>
              <w:t>1 asignación técnico-proyecto (11.399)</w:t>
            </w:r>
          </w:p>
        </w:tc>
        <w:tc>
          <w:tcPr>
            <w:tcW w:type="dxa" w:w="2608"/>
          </w:tcPr>
          <w:p>
            <w:r/>
            <w:r>
              <w:rPr>
                <w:sz w:val="17"/>
              </w:rPr>
              <w:t>Hecho</w:t>
            </w:r>
          </w:p>
        </w:tc>
        <w:tc>
          <w:tcPr>
            <w:tcW w:type="dxa" w:w="2721"/>
          </w:tcPr>
          <w:p>
            <w:r/>
            <w:r>
              <w:rPr>
                <w:sz w:val="17"/>
              </w:rPr>
              <w:t>tecnico_id, project_id</w:t>
            </w:r>
          </w:p>
        </w:tc>
      </w:tr>
      <w:tr>
        <w:trPr>
          <w:cantSplit/>
        </w:trPr>
        <w:tc>
          <w:tcPr>
            <w:tcW w:type="dxa" w:w="2608"/>
          </w:tcPr>
          <w:p>
            <w:r/>
            <w:r>
              <w:rPr>
                <w:sz w:val="17"/>
              </w:rPr>
              <w:t>aitsa_telemetry_silver</w:t>
            </w:r>
          </w:p>
        </w:tc>
        <w:tc>
          <w:tcPr>
            <w:tcW w:type="dxa" w:w="1701"/>
          </w:tcPr>
          <w:p>
            <w:r/>
            <w:r>
              <w:rPr>
                <w:sz w:val="17"/>
              </w:rPr>
              <w:t>1 lectura (75.240; cada 84 h (3,5 días) por instalación, 2022–2025)</w:t>
            </w:r>
          </w:p>
        </w:tc>
        <w:tc>
          <w:tcPr>
            <w:tcW w:type="dxa" w:w="2608"/>
          </w:tcPr>
          <w:p>
            <w:r/>
            <w:r>
              <w:rPr>
                <w:sz w:val="17"/>
              </w:rPr>
              <w:t>Hecho / serie de tiempo</w:t>
            </w:r>
          </w:p>
        </w:tc>
        <w:tc>
          <w:tcPr>
            <w:tcW w:type="dxa" w:w="2721"/>
          </w:tcPr>
          <w:p>
            <w:r/>
            <w:r>
              <w:rPr>
                <w:sz w:val="17"/>
              </w:rPr>
              <w:t>facility_id</w:t>
            </w:r>
          </w:p>
        </w:tc>
      </w:tr>
      <w:tr>
        <w:trPr>
          <w:cantSplit/>
        </w:trPr>
        <w:tc>
          <w:tcPr>
            <w:tcW w:type="dxa" w:w="2608"/>
          </w:tcPr>
          <w:p>
            <w:r/>
            <w:r>
              <w:rPr>
                <w:sz w:val="17"/>
              </w:rPr>
              <w:t>aitsa_scada_eventos_silver</w:t>
            </w:r>
          </w:p>
        </w:tc>
        <w:tc>
          <w:tcPr>
            <w:tcW w:type="dxa" w:w="1701"/>
          </w:tcPr>
          <w:p>
            <w:r/>
            <w:r>
              <w:rPr>
                <w:sz w:val="17"/>
              </w:rPr>
              <w:t>1 evento (1.854)</w:t>
            </w:r>
          </w:p>
        </w:tc>
        <w:tc>
          <w:tcPr>
            <w:tcW w:type="dxa" w:w="2608"/>
          </w:tcPr>
          <w:p>
            <w:r/>
            <w:r>
              <w:rPr>
                <w:sz w:val="17"/>
              </w:rPr>
              <w:t>Hecho</w:t>
            </w:r>
          </w:p>
        </w:tc>
        <w:tc>
          <w:tcPr>
            <w:tcW w:type="dxa" w:w="2721"/>
          </w:tcPr>
          <w:p>
            <w:r/>
            <w:r>
              <w:rPr>
                <w:sz w:val="17"/>
              </w:rPr>
              <w:t>facility_id</w:t>
            </w:r>
          </w:p>
        </w:tc>
      </w:tr>
      <w:tr>
        <w:trPr>
          <w:cantSplit/>
        </w:trPr>
        <w:tc>
          <w:tcPr>
            <w:tcW w:type="dxa" w:w="2608"/>
          </w:tcPr>
          <w:p>
            <w:r/>
            <w:r>
              <w:rPr>
                <w:sz w:val="17"/>
              </w:rPr>
              <w:t>aitsa_erp_projects_silver</w:t>
            </w:r>
          </w:p>
        </w:tc>
        <w:tc>
          <w:tcPr>
            <w:tcW w:type="dxa" w:w="1701"/>
          </w:tcPr>
          <w:p>
            <w:r/>
            <w:r>
              <w:rPr>
                <w:sz w:val="17"/>
              </w:rPr>
              <w:t>1 proyecto (1.200)</w:t>
            </w:r>
          </w:p>
        </w:tc>
        <w:tc>
          <w:tcPr>
            <w:tcW w:type="dxa" w:w="2608"/>
          </w:tcPr>
          <w:p>
            <w:r/>
            <w:r>
              <w:rPr>
                <w:sz w:val="17"/>
              </w:rPr>
              <w:t>Dimensión</w:t>
            </w:r>
          </w:p>
        </w:tc>
        <w:tc>
          <w:tcPr>
            <w:tcW w:type="dxa" w:w="2721"/>
          </w:tcPr>
          <w:p>
            <w:r/>
            <w:r>
              <w:rPr>
                <w:sz w:val="17"/>
              </w:rPr>
              <w:t>project_id (PK), facility_id</w:t>
            </w:r>
          </w:p>
        </w:tc>
      </w:tr>
      <w:tr>
        <w:trPr>
          <w:cantSplit/>
        </w:trPr>
        <w:tc>
          <w:tcPr>
            <w:tcW w:type="dxa" w:w="2608"/>
          </w:tcPr>
          <w:p>
            <w:r/>
            <w:r>
              <w:rPr>
                <w:sz w:val="17"/>
              </w:rPr>
              <w:t>aitsa_facilities_silver</w:t>
            </w:r>
          </w:p>
        </w:tc>
        <w:tc>
          <w:tcPr>
            <w:tcW w:type="dxa" w:w="1701"/>
          </w:tcPr>
          <w:p>
            <w:r/>
            <w:r>
              <w:rPr>
                <w:sz w:val="17"/>
              </w:rPr>
              <w:t>1 instalación (180)</w:t>
            </w:r>
          </w:p>
        </w:tc>
        <w:tc>
          <w:tcPr>
            <w:tcW w:type="dxa" w:w="2608"/>
          </w:tcPr>
          <w:p>
            <w:r/>
            <w:r>
              <w:rPr>
                <w:sz w:val="17"/>
              </w:rPr>
              <w:t>Dimensión</w:t>
            </w:r>
          </w:p>
        </w:tc>
        <w:tc>
          <w:tcPr>
            <w:tcW w:type="dxa" w:w="2721"/>
          </w:tcPr>
          <w:p>
            <w:r/>
            <w:r>
              <w:rPr>
                <w:sz w:val="17"/>
              </w:rPr>
              <w:t>facility_id (PK)</w:t>
            </w:r>
          </w:p>
        </w:tc>
      </w:tr>
    </w:tbl>
    <w:p>
      <w:pPr>
        <w:spacing w:after="40"/>
      </w:pPr>
    </w:p>
    <w:p>
      <w:pPr>
        <w:pStyle w:val="Heading2"/>
      </w:pPr>
      <w:r>
        <w:t>Relaciones a crear en el modelo</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494"/>
        <w:gridCol w:w="793"/>
        <w:gridCol w:w="2494"/>
        <w:gridCol w:w="3855"/>
      </w:tblGrid>
      <w:tr>
        <w:trPr>
          <w:cantSplit/>
          <w:tblHeader/>
        </w:trPr>
        <w:tc>
          <w:tcPr>
            <w:tcW w:type="dxa" w:w="2494"/>
            <w:shd w:val="clear" w:color="auto" w:fill="DCEEE2"/>
          </w:tcPr>
          <w:p>
            <w:r/>
            <w:r>
              <w:rPr>
                <w:b/>
                <w:color w:val="20603D"/>
                <w:sz w:val="17"/>
              </w:rPr>
              <w:t>Lado 1</w:t>
            </w:r>
          </w:p>
        </w:tc>
        <w:tc>
          <w:tcPr>
            <w:tcW w:type="dxa" w:w="794"/>
            <w:shd w:val="clear" w:color="auto" w:fill="DCEEE2"/>
          </w:tcPr>
          <w:p>
            <w:r/>
            <w:r>
              <w:rPr>
                <w:b/>
                <w:color w:val="20603D"/>
                <w:sz w:val="17"/>
              </w:rPr>
              <w:t>Card.</w:t>
            </w:r>
          </w:p>
        </w:tc>
        <w:tc>
          <w:tcPr>
            <w:tcW w:type="dxa" w:w="2494"/>
            <w:shd w:val="clear" w:color="auto" w:fill="DCEEE2"/>
          </w:tcPr>
          <w:p>
            <w:r/>
            <w:r>
              <w:rPr>
                <w:b/>
                <w:color w:val="20603D"/>
                <w:sz w:val="17"/>
              </w:rPr>
              <w:t>Lado N</w:t>
            </w:r>
          </w:p>
        </w:tc>
        <w:tc>
          <w:tcPr>
            <w:tcW w:type="dxa" w:w="3855"/>
            <w:shd w:val="clear" w:color="auto" w:fill="DCEEE2"/>
          </w:tcPr>
          <w:p>
            <w:r/>
            <w:r>
              <w:rPr>
                <w:b/>
                <w:color w:val="20603D"/>
                <w:sz w:val="17"/>
              </w:rPr>
              <w:t>Dirección / nota</w:t>
            </w:r>
          </w:p>
        </w:tc>
      </w:tr>
      <w:tr>
        <w:trPr>
          <w:cantSplit/>
        </w:trPr>
        <w:tc>
          <w:tcPr>
            <w:tcW w:type="dxa" w:w="2494"/>
          </w:tcPr>
          <w:p>
            <w:r/>
            <w:r>
              <w:rPr>
                <w:sz w:val="17"/>
              </w:rPr>
              <w:t>aitsa_technicians_silver</w:t>
            </w:r>
          </w:p>
        </w:tc>
        <w:tc>
          <w:tcPr>
            <w:tcW w:type="dxa" w:w="794"/>
          </w:tcPr>
          <w:p>
            <w:r/>
            <w:r>
              <w:rPr>
                <w:sz w:val="17"/>
              </w:rPr>
              <w:t>1 : N</w:t>
            </w:r>
          </w:p>
        </w:tc>
        <w:tc>
          <w:tcPr>
            <w:tcW w:type="dxa" w:w="2494"/>
          </w:tcPr>
          <w:p>
            <w:r/>
            <w:r>
              <w:rPr>
                <w:sz w:val="17"/>
              </w:rPr>
              <w:t>aitsa_support_tickets_silver (tecnico_id_asignado)</w:t>
            </w:r>
          </w:p>
        </w:tc>
        <w:tc>
          <w:tcPr>
            <w:tcW w:type="dxa" w:w="3855"/>
          </w:tcPr>
          <w:p>
            <w:r/>
            <w:r>
              <w:rPr>
                <w:sz w:val="17"/>
              </w:rPr>
              <w:t>Única, técnico → ticket</w:t>
            </w:r>
          </w:p>
        </w:tc>
      </w:tr>
      <w:tr>
        <w:trPr>
          <w:cantSplit/>
        </w:trPr>
        <w:tc>
          <w:tcPr>
            <w:tcW w:type="dxa" w:w="2494"/>
          </w:tcPr>
          <w:p>
            <w:r/>
            <w:r>
              <w:rPr>
                <w:sz w:val="17"/>
              </w:rPr>
              <w:t>aitsa_technicians_silver</w:t>
            </w:r>
          </w:p>
        </w:tc>
        <w:tc>
          <w:tcPr>
            <w:tcW w:type="dxa" w:w="794"/>
          </w:tcPr>
          <w:p>
            <w:r/>
            <w:r>
              <w:rPr>
                <w:sz w:val="17"/>
              </w:rPr>
              <w:t>1 : N</w:t>
            </w:r>
          </w:p>
        </w:tc>
        <w:tc>
          <w:tcPr>
            <w:tcW w:type="dxa" w:w="2494"/>
          </w:tcPr>
          <w:p>
            <w:r/>
            <w:r>
              <w:rPr>
                <w:sz w:val="17"/>
              </w:rPr>
              <w:t>aitsa_hr_costs_silver</w:t>
            </w:r>
          </w:p>
        </w:tc>
        <w:tc>
          <w:tcPr>
            <w:tcW w:type="dxa" w:w="3855"/>
          </w:tcPr>
          <w:p>
            <w:r/>
            <w:r>
              <w:rPr>
                <w:sz w:val="17"/>
              </w:rPr>
              <w:t>Única, técnico → asignación</w:t>
            </w:r>
          </w:p>
        </w:tc>
      </w:tr>
      <w:tr>
        <w:trPr>
          <w:cantSplit/>
        </w:trPr>
        <w:tc>
          <w:tcPr>
            <w:tcW w:type="dxa" w:w="2494"/>
          </w:tcPr>
          <w:p>
            <w:r/>
            <w:r>
              <w:rPr>
                <w:sz w:val="17"/>
              </w:rPr>
              <w:t>aitsa_facilities_silver</w:t>
            </w:r>
          </w:p>
        </w:tc>
        <w:tc>
          <w:tcPr>
            <w:tcW w:type="dxa" w:w="794"/>
          </w:tcPr>
          <w:p>
            <w:r/>
            <w:r>
              <w:rPr>
                <w:sz w:val="17"/>
              </w:rPr>
              <w:t>1 : N</w:t>
            </w:r>
          </w:p>
        </w:tc>
        <w:tc>
          <w:tcPr>
            <w:tcW w:type="dxa" w:w="2494"/>
          </w:tcPr>
          <w:p>
            <w:r/>
            <w:r>
              <w:rPr>
                <w:sz w:val="17"/>
              </w:rPr>
              <w:t>telemetry / scada_eventos / erp_projects</w:t>
            </w:r>
          </w:p>
        </w:tc>
        <w:tc>
          <w:tcPr>
            <w:tcW w:type="dxa" w:w="3855"/>
          </w:tcPr>
          <w:p>
            <w:r/>
            <w:r>
              <w:rPr>
                <w:sz w:val="17"/>
              </w:rPr>
              <w:t>Única, instalación → hecho</w:t>
            </w:r>
          </w:p>
        </w:tc>
      </w:tr>
      <w:tr>
        <w:trPr>
          <w:cantSplit/>
        </w:trPr>
        <w:tc>
          <w:tcPr>
            <w:tcW w:type="dxa" w:w="2494"/>
          </w:tcPr>
          <w:p>
            <w:r/>
            <w:r>
              <w:rPr>
                <w:sz w:val="17"/>
              </w:rPr>
              <w:t>aitsa_erp_projects_silver</w:t>
            </w:r>
          </w:p>
        </w:tc>
        <w:tc>
          <w:tcPr>
            <w:tcW w:type="dxa" w:w="794"/>
          </w:tcPr>
          <w:p>
            <w:r/>
            <w:r>
              <w:rPr>
                <w:sz w:val="17"/>
              </w:rPr>
              <w:t>1 : N</w:t>
            </w:r>
          </w:p>
        </w:tc>
        <w:tc>
          <w:tcPr>
            <w:tcW w:type="dxa" w:w="2494"/>
          </w:tcPr>
          <w:p>
            <w:r/>
            <w:r>
              <w:rPr>
                <w:sz w:val="17"/>
              </w:rPr>
              <w:t>aitsa_support_tickets_silver</w:t>
            </w:r>
          </w:p>
        </w:tc>
        <w:tc>
          <w:tcPr>
            <w:tcW w:type="dxa" w:w="3855"/>
          </w:tcPr>
          <w:p>
            <w:r/>
            <w:r>
              <w:rPr>
                <w:sz w:val="17"/>
              </w:rPr>
              <w:t>Única, proyecto → ticket</w:t>
            </w:r>
          </w:p>
        </w:tc>
      </w:tr>
      <w:tr>
        <w:trPr>
          <w:cantSplit/>
        </w:trPr>
        <w:tc>
          <w:tcPr>
            <w:tcW w:type="dxa" w:w="2494"/>
          </w:tcPr>
          <w:p>
            <w:r/>
            <w:r>
              <w:rPr>
                <w:sz w:val="17"/>
              </w:rPr>
              <w:t>aitsa_erp_projects_silver</w:t>
            </w:r>
          </w:p>
        </w:tc>
        <w:tc>
          <w:tcPr>
            <w:tcW w:type="dxa" w:w="794"/>
          </w:tcPr>
          <w:p>
            <w:r/>
            <w:r>
              <w:rPr>
                <w:sz w:val="17"/>
              </w:rPr>
              <w:t>1 : N</w:t>
            </w:r>
          </w:p>
        </w:tc>
        <w:tc>
          <w:tcPr>
            <w:tcW w:type="dxa" w:w="2494"/>
          </w:tcPr>
          <w:p>
            <w:r/>
            <w:r>
              <w:rPr>
                <w:sz w:val="17"/>
              </w:rPr>
              <w:t>aitsa_hr_costs_silver</w:t>
            </w:r>
          </w:p>
        </w:tc>
        <w:tc>
          <w:tcPr>
            <w:tcW w:type="dxa" w:w="3855"/>
          </w:tcPr>
          <w:p>
            <w:r/>
            <w:r>
              <w:rPr>
                <w:sz w:val="17"/>
              </w:rPr>
              <w:t>Inactiva (el camino activo es técnico → asignación)</w:t>
            </w:r>
          </w:p>
        </w:tc>
      </w:tr>
    </w:tbl>
    <w:p>
      <w:pPr>
        <w:spacing w:after="40"/>
      </w:pPr>
    </w:p>
    <w:p>
      <w:pPr>
        <w:pStyle w:val="Heading2"/>
      </w:pPr>
      <w:r>
        <w:t>Evidencias que el equipo debe producir</w:t>
      </w:r>
    </w:p>
    <w:p>
      <w:pPr>
        <w:pStyle w:val="Heading3"/>
      </w:pPr>
      <w:r>
        <w:t>Evidencia 1. Brecha entre la competencia requerida por el ticket y la competencia del técnico asignado.</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aitsa_support_tickets_silver</w:t>
            </w:r>
          </w:p>
        </w:tc>
        <w:tc>
          <w:tcPr>
            <w:tcW w:type="dxa" w:w="6520"/>
          </w:tcPr>
          <w:p>
            <w:r/>
            <w:r>
              <w:rPr>
                <w:sz w:val="17"/>
              </w:rPr>
              <w:t>especialidad_requerida, nivel_certificacion_requerido, tecnico_id_asignado, incumplimiento_sla_flag</w:t>
            </w:r>
          </w:p>
        </w:tc>
      </w:tr>
      <w:tr>
        <w:trPr>
          <w:cantSplit/>
        </w:trPr>
        <w:tc>
          <w:tcPr>
            <w:tcW w:type="dxa" w:w="3118"/>
          </w:tcPr>
          <w:p>
            <w:r/>
            <w:r>
              <w:rPr>
                <w:sz w:val="17"/>
              </w:rPr>
              <w:t>aitsa_technicians_silver</w:t>
            </w:r>
          </w:p>
        </w:tc>
        <w:tc>
          <w:tcPr>
            <w:tcW w:type="dxa" w:w="6520"/>
          </w:tcPr>
          <w:p>
            <w:r/>
            <w:r>
              <w:rPr>
                <w:sz w:val="17"/>
              </w:rPr>
              <w:t>tecnico_id, especialidad, nivel_certificacion</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Relación técnico (1) → ticket (N) por tecnico_id_asignado = tecnico_id.</w:t>
      </w:r>
    </w:p>
    <w:p>
      <w:pPr>
        <w:pStyle w:val="ListParagraph"/>
        <w:spacing w:after="40"/>
      </w:pPr>
      <w:r>
        <w:rPr>
          <w:b/>
        </w:rPr>
        <w:t xml:space="preserve">2. </w:t>
      </w:r>
      <w:r>
        <w:rPr>
          <w:b w:val="0"/>
        </w:rPr>
        <w:t>Con la relación activa, RELATED() trae la especialidad y el nivel del técnico a cada ticket.</w:t>
      </w:r>
    </w:p>
    <w:p>
      <w:pPr>
        <w:pStyle w:val="ListParagraph"/>
        <w:spacing w:after="40"/>
      </w:pPr>
      <w:r>
        <w:rPr>
          <w:b/>
        </w:rPr>
        <w:t xml:space="preserve">3. </w:t>
      </w:r>
      <w:r>
        <w:rPr>
          <w:b w:val="0"/>
        </w:rPr>
        <w:t>En v10 los niveles son enteros de 1 a 4: la brecha es una resta directa, sin SWITCH.</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 Columnas calculadas en aitsa_support_tickets_silver</w:t>
      </w:r>
    </w:p>
    <w:p>
      <w:pPr>
        <w:spacing w:after="0"/>
        <w:ind w:left="170"/>
        <w:shd w:val="clear" w:color="auto" w:fill="F2F5F3"/>
      </w:pPr>
      <w:r>
        <w:rPr>
          <w:rFonts w:ascii="Consolas" w:hAnsi="Consolas" w:eastAsia="Consolas"/>
          <w:sz w:val="16"/>
        </w:rPr>
        <w:t>Especialidad Coincide = IF ( aitsa_support_tickets_silver[especialidad_requerida] = RELATED ( aitsa_technicians_silver[especialidad] ), 1, 0 )</w:t>
      </w:r>
    </w:p>
    <w:p>
      <w:pPr>
        <w:spacing w:after="0"/>
        <w:ind w:left="170"/>
        <w:shd w:val="clear" w:color="auto" w:fill="F2F5F3"/>
      </w:pPr>
      <w:r>
        <w:rPr>
          <w:rFonts w:ascii="Consolas" w:hAnsi="Consolas" w:eastAsia="Consolas"/>
          <w:sz w:val="16"/>
        </w:rPr>
        <w:t>Brecha Certificación = aitsa_support_tickets_silver[nivel_certificacion_requerido] - RELATED ( aitsa_technicians_silver[nivel_certificacion] )</w:t>
      </w:r>
    </w:p>
    <w:p>
      <w:pPr>
        <w:spacing w:after="0"/>
        <w:ind w:left="170"/>
        <w:shd w:val="clear" w:color="auto" w:fill="F2F5F3"/>
      </w:pPr>
      <w:r>
        <w:rPr>
          <w:rFonts w:ascii="Consolas" w:hAnsi="Consolas" w:eastAsia="Consolas"/>
          <w:sz w:val="16"/>
        </w:rPr>
        <w:t>Asignación Compatible = IF ( [Especialidad Coincide] = 1 &amp;&amp; [Brecha Certificación] &lt;= 0, 1, 0 )</w:t>
      </w:r>
    </w:p>
    <w:p>
      <w:pPr>
        <w:spacing w:after="0"/>
        <w:ind w:left="170"/>
        <w:shd w:val="clear" w:color="auto" w:fill="F2F5F3"/>
      </w:pPr>
      <w:r>
        <w:rPr>
          <w:rFonts w:ascii="Consolas" w:hAnsi="Consolas" w:eastAsia="Consolas"/>
          <w:sz w:val="16"/>
        </w:rPr>
        <w:t xml:space="preserve"> </w:t>
      </w:r>
    </w:p>
    <w:p>
      <w:pPr>
        <w:spacing w:after="0"/>
        <w:ind w:left="170"/>
        <w:shd w:val="clear" w:color="auto" w:fill="F2F5F3"/>
      </w:pPr>
      <w:r>
        <w:rPr>
          <w:rFonts w:ascii="Consolas" w:hAnsi="Consolas" w:eastAsia="Consolas"/>
          <w:sz w:val="16"/>
        </w:rPr>
        <w:t>-- Medidas</w:t>
      </w:r>
    </w:p>
    <w:p>
      <w:pPr>
        <w:spacing w:after="0"/>
        <w:ind w:left="170"/>
        <w:shd w:val="clear" w:color="auto" w:fill="F2F5F3"/>
      </w:pPr>
      <w:r>
        <w:rPr>
          <w:rFonts w:ascii="Consolas" w:hAnsi="Consolas" w:eastAsia="Consolas"/>
          <w:sz w:val="16"/>
        </w:rPr>
        <w:t>% Especialidad Coincidente = AVERAGE ( aitsa_support_tickets_silver[Especialidad Coincide] )</w:t>
      </w:r>
    </w:p>
    <w:p>
      <w:pPr>
        <w:spacing w:after="0"/>
        <w:ind w:left="170"/>
        <w:shd w:val="clear" w:color="auto" w:fill="F2F5F3"/>
      </w:pPr>
      <w:r>
        <w:rPr>
          <w:rFonts w:ascii="Consolas" w:hAnsi="Consolas" w:eastAsia="Consolas"/>
          <w:sz w:val="16"/>
        </w:rPr>
        <w:t>% Asignaciones Compatibles = AVERAGE ( aitsa_support_tickets_silver[Asignación Compatible] )</w:t>
      </w:r>
    </w:p>
    <w:p>
      <w:pPr>
        <w:spacing w:after="0"/>
        <w:ind w:left="170"/>
        <w:shd w:val="clear" w:color="auto" w:fill="F2F5F3"/>
      </w:pPr>
      <w:r>
        <w:rPr>
          <w:rFonts w:ascii="Consolas" w:hAnsi="Consolas" w:eastAsia="Consolas"/>
          <w:sz w:val="16"/>
        </w:rPr>
        <w:t>Brecha Certificación Promedio = AVERAGE ( aitsa_support_tickets_silver[Brecha Certificación] )</w:t>
      </w:r>
    </w:p>
    <w:p>
      <w:pPr>
        <w:spacing w:after="0"/>
        <w:ind w:left="170"/>
        <w:shd w:val="clear" w:color="auto" w:fill="F2F5F3"/>
      </w:pPr>
      <w:r>
        <w:rPr>
          <w:rFonts w:ascii="Consolas" w:hAnsi="Consolas" w:eastAsia="Consolas"/>
          <w:sz w:val="16"/>
        </w:rPr>
        <w:t>Tasa Incumplimiento SLA = AVERAGE ( aitsa_support_tickets_silver[incumplimiento_sla_flag]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 especialidad coincidente</w:t>
            </w:r>
          </w:p>
        </w:tc>
        <w:tc>
          <w:tcPr>
            <w:tcW w:type="dxa" w:w="4535"/>
          </w:tcPr>
          <w:p>
            <w:r/>
            <w:r>
              <w:rPr>
                <w:b/>
                <w:sz w:val="17"/>
              </w:rPr>
              <w:t>25,3 %</w:t>
            </w:r>
          </w:p>
        </w:tc>
      </w:tr>
      <w:tr>
        <w:trPr>
          <w:cantSplit/>
        </w:trPr>
        <w:tc>
          <w:tcPr>
            <w:tcW w:type="dxa" w:w="5102"/>
          </w:tcPr>
          <w:p>
            <w:r/>
            <w:r>
              <w:rPr>
                <w:sz w:val="17"/>
              </w:rPr>
              <w:t>% con brecha de certificación positiva</w:t>
            </w:r>
          </w:p>
        </w:tc>
        <w:tc>
          <w:tcPr>
            <w:tcW w:type="dxa" w:w="4535"/>
          </w:tcPr>
          <w:p>
            <w:r/>
            <w:r>
              <w:rPr>
                <w:b/>
                <w:sz w:val="17"/>
              </w:rPr>
              <w:t>39,4 %</w:t>
            </w:r>
          </w:p>
        </w:tc>
      </w:tr>
      <w:tr>
        <w:trPr>
          <w:cantSplit/>
        </w:trPr>
        <w:tc>
          <w:tcPr>
            <w:tcW w:type="dxa" w:w="5102"/>
          </w:tcPr>
          <w:p>
            <w:r/>
            <w:r>
              <w:rPr>
                <w:sz w:val="17"/>
              </w:rPr>
              <w:t>Brecha promedio</w:t>
            </w:r>
          </w:p>
        </w:tc>
        <w:tc>
          <w:tcPr>
            <w:tcW w:type="dxa" w:w="4535"/>
          </w:tcPr>
          <w:p>
            <w:r/>
            <w:r>
              <w:rPr>
                <w:b/>
                <w:sz w:val="17"/>
              </w:rPr>
              <w:t>0,17 niveles</w:t>
            </w:r>
          </w:p>
        </w:tc>
      </w:tr>
      <w:tr>
        <w:trPr>
          <w:cantSplit/>
        </w:trPr>
        <w:tc>
          <w:tcPr>
            <w:tcW w:type="dxa" w:w="5102"/>
          </w:tcPr>
          <w:p>
            <w:r/>
            <w:r>
              <w:rPr>
                <w:sz w:val="17"/>
              </w:rPr>
              <w:t>% asignaciones compatibles</w:t>
            </w:r>
          </w:p>
        </w:tc>
        <w:tc>
          <w:tcPr>
            <w:tcW w:type="dxa" w:w="4535"/>
          </w:tcPr>
          <w:p>
            <w:r/>
            <w:r>
              <w:rPr>
                <w:b/>
                <w:sz w:val="17"/>
              </w:rPr>
              <w:t>15,4 %</w:t>
            </w:r>
          </w:p>
        </w:tc>
      </w:tr>
      <w:tr>
        <w:trPr>
          <w:cantSplit/>
        </w:trPr>
        <w:tc>
          <w:tcPr>
            <w:tcW w:type="dxa" w:w="5102"/>
          </w:tcPr>
          <w:p>
            <w:r/>
            <w:r>
              <w:rPr>
                <w:sz w:val="17"/>
              </w:rPr>
              <w:t>Incumplimiento SLA</w:t>
            </w:r>
          </w:p>
        </w:tc>
        <w:tc>
          <w:tcPr>
            <w:tcW w:type="dxa" w:w="4535"/>
          </w:tcPr>
          <w:p>
            <w:r/>
            <w:r>
              <w:rPr>
                <w:b/>
                <w:sz w:val="17"/>
              </w:rPr>
              <w:t>19,4 % total · 13,9 % compatibles · 20,4 % no compatibles</w:t>
            </w:r>
          </w:p>
        </w:tc>
      </w:tr>
      <w:tr>
        <w:trPr>
          <w:cantSplit/>
        </w:trPr>
        <w:tc>
          <w:tcPr>
            <w:tcW w:type="dxa" w:w="5102"/>
          </w:tcPr>
          <w:p>
            <w:r/>
            <w:r>
              <w:rPr>
                <w:sz w:val="17"/>
              </w:rPr>
              <w:t>Incumplimiento por severidad</w:t>
            </w:r>
          </w:p>
        </w:tc>
        <w:tc>
          <w:tcPr>
            <w:tcW w:type="dxa" w:w="4535"/>
          </w:tcPr>
          <w:p>
            <w:r/>
            <w:r>
              <w:rPr>
                <w:b/>
                <w:sz w:val="17"/>
              </w:rPr>
              <w:t>Crítica 98,0 % · Alta 51,4 % · Media 1,7 % · Baja 0,0 %</w:t>
            </w:r>
          </w:p>
        </w:tc>
      </w:tr>
    </w:tbl>
    <w:p>
      <w:pPr>
        <w:spacing w:after="40"/>
      </w:pPr>
    </w:p>
    <w:p>
      <w:pPr>
        <w:spacing w:after="120"/>
      </w:pPr>
      <w:r>
        <w:rPr>
          <w:b/>
          <w:color w:val="B04A1A"/>
        </w:rPr>
        <w:t xml:space="preserve">Riesgo a vigilar: </w:t>
      </w:r>
      <w:r>
        <w:rPr>
          <w:b w:val="0"/>
        </w:rPr>
        <w:t>La severidad explica mucho más el incumplimiento que la compatibilidad del técnico. Compare la compatibilidad dentro de cada severidad antes de concluir. Si tecnico_id_asignado y tecnico_id difieren en tipo o espacios, RELATED() devuelve vacío sin error.</w:t>
      </w:r>
    </w:p>
    <w:p>
      <w:pPr>
        <w:pStyle w:val="Heading3"/>
      </w:pPr>
      <w:r>
        <w:t>Evidencia 2. Relación entre anomalías de telemetría, eventos SCADA, retrabajo y desvíos SLA.</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aitsa_telemetry_silver</w:t>
            </w:r>
          </w:p>
        </w:tc>
        <w:tc>
          <w:tcPr>
            <w:tcW w:type="dxa" w:w="6520"/>
          </w:tcPr>
          <w:p>
            <w:r/>
            <w:r>
              <w:rPr>
                <w:sz w:val="17"/>
              </w:rPr>
              <w:t>facility_id, temperatura_c, vibracion_rms, consumo_kwh</w:t>
            </w:r>
          </w:p>
        </w:tc>
      </w:tr>
      <w:tr>
        <w:trPr>
          <w:cantSplit/>
        </w:trPr>
        <w:tc>
          <w:tcPr>
            <w:tcW w:type="dxa" w:w="3118"/>
          </w:tcPr>
          <w:p>
            <w:r/>
            <w:r>
              <w:rPr>
                <w:sz w:val="17"/>
              </w:rPr>
              <w:t>aitsa_scada_eventos_silver</w:t>
            </w:r>
          </w:p>
        </w:tc>
        <w:tc>
          <w:tcPr>
            <w:tcW w:type="dxa" w:w="6520"/>
          </w:tcPr>
          <w:p>
            <w:r/>
            <w:r>
              <w:rPr>
                <w:sz w:val="17"/>
              </w:rPr>
              <w:t>facility_id, tipo</w:t>
            </w:r>
          </w:p>
        </w:tc>
      </w:tr>
      <w:tr>
        <w:trPr>
          <w:cantSplit/>
        </w:trPr>
        <w:tc>
          <w:tcPr>
            <w:tcW w:type="dxa" w:w="3118"/>
          </w:tcPr>
          <w:p>
            <w:r/>
            <w:r>
              <w:rPr>
                <w:sz w:val="17"/>
              </w:rPr>
              <w:t>aitsa_erp_projects_silver</w:t>
            </w:r>
          </w:p>
        </w:tc>
        <w:tc>
          <w:tcPr>
            <w:tcW w:type="dxa" w:w="6520"/>
          </w:tcPr>
          <w:p>
            <w:r/>
            <w:r>
              <w:rPr>
                <w:sz w:val="17"/>
              </w:rPr>
              <w:t>facility_id, horas_retrabajo</w:t>
            </w:r>
          </w:p>
        </w:tc>
      </w:tr>
      <w:tr>
        <w:trPr>
          <w:cantSplit/>
        </w:trPr>
        <w:tc>
          <w:tcPr>
            <w:tcW w:type="dxa" w:w="3118"/>
          </w:tcPr>
          <w:p>
            <w:r/>
            <w:r>
              <w:rPr>
                <w:sz w:val="17"/>
              </w:rPr>
              <w:t>aitsa_support_tickets_silver</w:t>
            </w:r>
          </w:p>
        </w:tc>
        <w:tc>
          <w:tcPr>
            <w:tcW w:type="dxa" w:w="6520"/>
          </w:tcPr>
          <w:p>
            <w:r/>
            <w:r>
              <w:rPr>
                <w:sz w:val="17"/>
              </w:rPr>
              <w:t>project_id, desvio_sla_horas</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Con instalación → proyecto → ticket e instalación → telemetría y SCADA, todo llega a la fila de instalación sin fusionar tablas.</w:t>
      </w:r>
    </w:p>
    <w:p>
      <w:pPr>
        <w:pStyle w:val="ListParagraph"/>
        <w:spacing w:after="40"/>
      </w:pPr>
      <w:r>
        <w:rPr>
          <w:b/>
        </w:rPr>
        <w:t xml:space="preserve">2. </w:t>
      </w:r>
      <w:r>
        <w:rPr>
          <w:b w:val="0"/>
        </w:rPr>
        <w:t>Construir el visual con aitsa_facilities_silver[facility_id] en filas (180 instalaciones) y un gráfico de dispersión por instalación.</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Temp Promedio (°C) = AVERAGE ( aitsa_telemetry_silver[temperatura_c] )</w:t>
      </w:r>
    </w:p>
    <w:p>
      <w:pPr>
        <w:spacing w:after="0"/>
        <w:ind w:left="170"/>
        <w:shd w:val="clear" w:color="auto" w:fill="F2F5F3"/>
      </w:pPr>
      <w:r>
        <w:rPr>
          <w:rFonts w:ascii="Consolas" w:hAnsi="Consolas" w:eastAsia="Consolas"/>
          <w:sz w:val="16"/>
        </w:rPr>
        <w:t>Vibración Promedio (RMS) = AVERAGE ( aitsa_telemetry_silver[vibracion_rms] )</w:t>
      </w:r>
    </w:p>
    <w:p>
      <w:pPr>
        <w:spacing w:after="0"/>
        <w:ind w:left="170"/>
        <w:shd w:val="clear" w:color="auto" w:fill="F2F5F3"/>
      </w:pPr>
      <w:r>
        <w:rPr>
          <w:rFonts w:ascii="Consolas" w:hAnsi="Consolas" w:eastAsia="Consolas"/>
          <w:sz w:val="16"/>
        </w:rPr>
        <w:t>N Eventos SCADA = COUNTROWS ( aitsa_scada_eventos_silver )</w:t>
      </w:r>
    </w:p>
    <w:p>
      <w:pPr>
        <w:spacing w:after="0"/>
        <w:ind w:left="170"/>
        <w:shd w:val="clear" w:color="auto" w:fill="F2F5F3"/>
      </w:pPr>
      <w:r>
        <w:rPr>
          <w:rFonts w:ascii="Consolas" w:hAnsi="Consolas" w:eastAsia="Consolas"/>
          <w:sz w:val="16"/>
        </w:rPr>
        <w:t>Horas Retrabajo Total = SUM ( aitsa_erp_projects_silver[horas_retrabajo] )</w:t>
      </w:r>
    </w:p>
    <w:p>
      <w:pPr>
        <w:spacing w:after="0"/>
        <w:ind w:left="170"/>
        <w:shd w:val="clear" w:color="auto" w:fill="F2F5F3"/>
      </w:pPr>
      <w:r>
        <w:rPr>
          <w:rFonts w:ascii="Consolas" w:hAnsi="Consolas" w:eastAsia="Consolas"/>
          <w:sz w:val="16"/>
        </w:rPr>
        <w:t>Desvío SLA Total (h) = SUM ( aitsa_support_tickets_silver[desvio_sla_horas]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Temperatura y vibración promedio</w:t>
            </w:r>
          </w:p>
        </w:tc>
        <w:tc>
          <w:tcPr>
            <w:tcW w:type="dxa" w:w="4535"/>
          </w:tcPr>
          <w:p>
            <w:r/>
            <w:r>
              <w:rPr>
                <w:b/>
                <w:sz w:val="17"/>
              </w:rPr>
              <w:t>25,26 °C · 1,405 RMS</w:t>
            </w:r>
          </w:p>
        </w:tc>
      </w:tr>
      <w:tr>
        <w:trPr>
          <w:cantSplit/>
        </w:trPr>
        <w:tc>
          <w:tcPr>
            <w:tcW w:type="dxa" w:w="5102"/>
          </w:tcPr>
          <w:p>
            <w:r/>
            <w:r>
              <w:rPr>
                <w:sz w:val="17"/>
              </w:rPr>
              <w:t>Eventos SCADA</w:t>
            </w:r>
          </w:p>
        </w:tc>
        <w:tc>
          <w:tcPr>
            <w:tcW w:type="dxa" w:w="4535"/>
          </w:tcPr>
          <w:p>
            <w:r/>
            <w:r>
              <w:rPr>
                <w:b/>
                <w:sz w:val="17"/>
              </w:rPr>
              <w:t>1.854 (vibración 480 · temperatura alta 467 · consumo anómalo 463 · pérdida de comunicación 444)</w:t>
            </w:r>
          </w:p>
        </w:tc>
      </w:tr>
      <w:tr>
        <w:trPr>
          <w:cantSplit/>
        </w:trPr>
        <w:tc>
          <w:tcPr>
            <w:tcW w:type="dxa" w:w="5102"/>
          </w:tcPr>
          <w:p>
            <w:r/>
            <w:r>
              <w:rPr>
                <w:sz w:val="17"/>
              </w:rPr>
              <w:t>Proyectos por instalación</w:t>
            </w:r>
          </w:p>
        </w:tc>
        <w:tc>
          <w:tcPr>
            <w:tcW w:type="dxa" w:w="4535"/>
          </w:tcPr>
          <w:p>
            <w:r/>
            <w:r>
              <w:rPr>
                <w:b/>
                <w:sz w:val="17"/>
              </w:rPr>
              <w:t>6,67 en promedio</w:t>
            </w:r>
          </w:p>
        </w:tc>
      </w:tr>
      <w:tr>
        <w:trPr>
          <w:cantSplit/>
        </w:trPr>
        <w:tc>
          <w:tcPr>
            <w:tcW w:type="dxa" w:w="5102"/>
          </w:tcPr>
          <w:p>
            <w:r/>
            <w:r>
              <w:rPr>
                <w:sz w:val="17"/>
              </w:rPr>
              <w:t>Correlación por instalación: vibración – retrabajo</w:t>
            </w:r>
          </w:p>
        </w:tc>
        <w:tc>
          <w:tcPr>
            <w:tcW w:type="dxa" w:w="4535"/>
          </w:tcPr>
          <w:p>
            <w:r/>
            <w:r>
              <w:rPr>
                <w:b/>
                <w:sz w:val="17"/>
              </w:rPr>
              <w:t>0,06</w:t>
            </w:r>
          </w:p>
        </w:tc>
      </w:tr>
      <w:tr>
        <w:trPr>
          <w:cantSplit/>
        </w:trPr>
        <w:tc>
          <w:tcPr>
            <w:tcW w:type="dxa" w:w="5102"/>
          </w:tcPr>
          <w:p>
            <w:r/>
            <w:r>
              <w:rPr>
                <w:sz w:val="17"/>
              </w:rPr>
              <w:t>Correlación por instalación: eventos SCADA – desvío SLA</w:t>
            </w:r>
          </w:p>
        </w:tc>
        <w:tc>
          <w:tcPr>
            <w:tcW w:type="dxa" w:w="4535"/>
          </w:tcPr>
          <w:p>
            <w:r/>
            <w:r>
              <w:rPr>
                <w:b/>
                <w:sz w:val="17"/>
              </w:rPr>
              <w:t>−0,12</w:t>
            </w:r>
          </w:p>
        </w:tc>
      </w:tr>
    </w:tbl>
    <w:p>
      <w:pPr>
        <w:spacing w:after="40"/>
      </w:pPr>
    </w:p>
    <w:p>
      <w:pPr>
        <w:spacing w:after="120"/>
      </w:pPr>
      <w:r>
        <w:rPr>
          <w:b/>
          <w:color w:val="B04A1A"/>
        </w:rPr>
        <w:t xml:space="preserve">Riesgo a vigilar: </w:t>
      </w:r>
      <w:r>
        <w:rPr>
          <w:b w:val="0"/>
        </w:rPr>
        <w:t>En v10 no se observa relación a nivel instalación entre anomalías y retrabajo o desvíos: es un hallazgo válido, no un error del modelo. Además, la telemetría llega hasta diciembre de 2025 y los tickets hasta junio de 2026: con filtros de fecha, compare solo el periodo común.</w:t>
      </w:r>
    </w:p>
    <w:p>
      <w:pPr>
        <w:pStyle w:val="Heading3"/>
      </w:pPr>
      <w:r>
        <w:t>Evidencia 3. Priorización de recursos técnicos con criterios de severidad, capacidad y carga.</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aitsa_support_tickets_silver</w:t>
            </w:r>
          </w:p>
        </w:tc>
        <w:tc>
          <w:tcPr>
            <w:tcW w:type="dxa" w:w="6520"/>
          </w:tcPr>
          <w:p>
            <w:r/>
            <w:r>
              <w:rPr>
                <w:sz w:val="17"/>
              </w:rPr>
              <w:t>tecnico_id_asignado, severidad</w:t>
            </w:r>
          </w:p>
        </w:tc>
      </w:tr>
      <w:tr>
        <w:trPr>
          <w:cantSplit/>
        </w:trPr>
        <w:tc>
          <w:tcPr>
            <w:tcW w:type="dxa" w:w="3118"/>
          </w:tcPr>
          <w:p>
            <w:r/>
            <w:r>
              <w:rPr>
                <w:sz w:val="17"/>
              </w:rPr>
              <w:t>aitsa_hr_costs_silver</w:t>
            </w:r>
          </w:p>
        </w:tc>
        <w:tc>
          <w:tcPr>
            <w:tcW w:type="dxa" w:w="6520"/>
          </w:tcPr>
          <w:p>
            <w:r/>
            <w:r>
              <w:rPr>
                <w:sz w:val="17"/>
              </w:rPr>
              <w:t>tecnico_id, horas_extra, horas_retrabajo_asignadas</w:t>
            </w:r>
          </w:p>
        </w:tc>
      </w:tr>
      <w:tr>
        <w:trPr>
          <w:cantSplit/>
        </w:trPr>
        <w:tc>
          <w:tcPr>
            <w:tcW w:type="dxa" w:w="3118"/>
          </w:tcPr>
          <w:p>
            <w:r/>
            <w:r>
              <w:rPr>
                <w:sz w:val="17"/>
              </w:rPr>
              <w:t>aitsa_technicians_silver</w:t>
            </w:r>
          </w:p>
        </w:tc>
        <w:tc>
          <w:tcPr>
            <w:tcW w:type="dxa" w:w="6520"/>
          </w:tcPr>
          <w:p>
            <w:r/>
            <w:r>
              <w:rPr>
                <w:sz w:val="17"/>
              </w:rPr>
              <w:t>tecnico_id, especialidad, nivel_certificacion, planta_base</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Reutilizar técnico → ticket y técnico → asignación; nunca relacionar tickets con asignaciones entre sí.</w:t>
      </w:r>
    </w:p>
    <w:p>
      <w:pPr>
        <w:pStyle w:val="ListParagraph"/>
        <w:spacing w:after="40"/>
      </w:pPr>
      <w:r>
        <w:rPr>
          <w:b/>
        </w:rPr>
        <w:t xml:space="preserve">2. </w:t>
      </w:r>
      <w:r>
        <w:rPr>
          <w:b w:val="0"/>
        </w:rPr>
        <w:t>La severidad lleva tilde en v10: «Crítica».</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Carga Severidad =</w:t>
      </w:r>
    </w:p>
    <w:p>
      <w:pPr>
        <w:spacing w:after="0"/>
        <w:ind w:left="170"/>
        <w:shd w:val="clear" w:color="auto" w:fill="F2F5F3"/>
      </w:pPr>
      <w:r>
        <w:rPr>
          <w:rFonts w:ascii="Consolas" w:hAnsi="Consolas" w:eastAsia="Consolas"/>
          <w:sz w:val="16"/>
        </w:rPr>
        <w:t>SUMX ( aitsa_support_tickets_silver,</w:t>
      </w:r>
    </w:p>
    <w:p>
      <w:pPr>
        <w:spacing w:after="0"/>
        <w:ind w:left="170"/>
        <w:shd w:val="clear" w:color="auto" w:fill="F2F5F3"/>
      </w:pPr>
      <w:r>
        <w:rPr>
          <w:rFonts w:ascii="Consolas" w:hAnsi="Consolas" w:eastAsia="Consolas"/>
          <w:sz w:val="16"/>
        </w:rPr>
        <w:t xml:space="preserve">    SWITCH ( aitsa_support_tickets_silver[severidad], "Crítica", 4, "Alta", 3, "Media", 2, "Baja", 1, 0 ) )</w:t>
      </w:r>
    </w:p>
    <w:p>
      <w:pPr>
        <w:spacing w:after="0"/>
        <w:ind w:left="170"/>
        <w:shd w:val="clear" w:color="auto" w:fill="F2F5F3"/>
      </w:pPr>
      <w:r>
        <w:rPr>
          <w:rFonts w:ascii="Consolas" w:hAnsi="Consolas" w:eastAsia="Consolas"/>
          <w:sz w:val="16"/>
        </w:rPr>
        <w:t>Horas Extra Total = SUM ( aitsa_hr_costs_silver[horas_extra] )</w:t>
      </w:r>
    </w:p>
    <w:p>
      <w:pPr>
        <w:spacing w:after="0"/>
        <w:ind w:left="170"/>
        <w:shd w:val="clear" w:color="auto" w:fill="F2F5F3"/>
      </w:pPr>
      <w:r>
        <w:rPr>
          <w:rFonts w:ascii="Consolas" w:hAnsi="Consolas" w:eastAsia="Consolas"/>
          <w:sz w:val="16"/>
        </w:rPr>
        <w:t>Horas Retrabajo Asignadas Total = SUM ( aitsa_hr_costs_silver[horas_retrabajo_asignadas] )</w:t>
      </w:r>
    </w:p>
    <w:p>
      <w:pPr>
        <w:spacing w:after="0"/>
        <w:ind w:left="170"/>
        <w:shd w:val="clear" w:color="auto" w:fill="F2F5F3"/>
      </w:pPr>
      <w:r>
        <w:rPr>
          <w:rFonts w:ascii="Consolas" w:hAnsi="Consolas" w:eastAsia="Consolas"/>
          <w:sz w:val="16"/>
        </w:rPr>
        <w:t>Índice Carga Técnico = [Carga Severidad] + [Horas Extra Total] * 0.1 + [Horas Retrabajo Asignadas Total] * 0.2</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Carga de severidad total</w:t>
            </w:r>
          </w:p>
        </w:tc>
        <w:tc>
          <w:tcPr>
            <w:tcW w:type="dxa" w:w="4535"/>
          </w:tcPr>
          <w:p>
            <w:r/>
            <w:r>
              <w:rPr>
                <w:b/>
                <w:sz w:val="17"/>
              </w:rPr>
              <w:t>15.774 (Media 3.123 · Baja 2.211 · Alta 1.699 · Crítica 555 tickets)</w:t>
            </w:r>
          </w:p>
        </w:tc>
      </w:tr>
      <w:tr>
        <w:trPr>
          <w:cantSplit/>
        </w:trPr>
        <w:tc>
          <w:tcPr>
            <w:tcW w:type="dxa" w:w="5102"/>
          </w:tcPr>
          <w:p>
            <w:r/>
            <w:r>
              <w:rPr>
                <w:sz w:val="17"/>
              </w:rPr>
              <w:t>Técnicos con mayor índice</w:t>
            </w:r>
          </w:p>
        </w:tc>
        <w:tc>
          <w:tcPr>
            <w:tcW w:type="dxa" w:w="4535"/>
          </w:tcPr>
          <w:p>
            <w:r/>
            <w:r>
              <w:rPr>
                <w:b/>
                <w:sz w:val="17"/>
              </w:rPr>
              <w:t>TEC-0113 240,2 · TEC-0053 238,5 · TEC-0078 236,9 · TEC-0039 232,9 · TEC-0040 231,8</w:t>
            </w:r>
          </w:p>
        </w:tc>
      </w:tr>
    </w:tbl>
    <w:p>
      <w:pPr>
        <w:spacing w:after="40"/>
      </w:pPr>
    </w:p>
    <w:p>
      <w:pPr>
        <w:spacing w:after="120"/>
      </w:pPr>
      <w:r>
        <w:rPr>
          <w:b/>
          <w:color w:val="B04A1A"/>
        </w:rPr>
        <w:t xml:space="preserve">Riesgo a vigilar: </w:t>
      </w:r>
      <w:r>
        <w:rPr>
          <w:b w:val="0"/>
        </w:rPr>
        <w:t>Si el SWITCH usa «Critica» sin tilde, los 555 tickets críticos pesan 0 y la carga se subestima sin error visible. Los pesos 0,1 y 0,2 son supuestos: declárelos en la ficha de supuestos.</w:t>
      </w:r>
    </w:p>
    <w:p>
      <w:r>
        <w:br w:type="page"/>
      </w:r>
    </w:p>
    <w:p>
      <w:pPr>
        <w:pStyle w:val="Heading1"/>
      </w:pPr>
      <w:r>
        <w:t>Subcaso 02A — Estrategia y Finanzas</w:t>
      </w:r>
    </w:p>
    <w:p>
      <w:r>
        <w:rPr>
          <w:b/>
        </w:rPr>
        <w:t xml:space="preserve">Caso 02 — RedNexo  ·  Mandato: </w:t>
      </w:r>
      <w:r>
        <w:t>Comparar la sostenibilidad económica de tecnologías legadas y fibra óptica, incorporando churn, calidad del servicio, OPEX, CAPEX y parámetros financieros comunes.</w:t>
      </w:r>
    </w:p>
    <w:p>
      <w:r>
        <w:rPr>
          <w:b/>
        </w:rPr>
        <w:t xml:space="preserve">Cruce: </w:t>
      </w:r>
      <w:r>
        <w:t>Abonados → soporte; zona y tecnología → nodos, OPEX y CAPEX; parámetros → evaluación financiera.</w:t>
      </w:r>
    </w:p>
    <w:p>
      <w:pPr>
        <w:pStyle w:val="Heading2"/>
      </w:pPr>
      <w:r>
        <w:t>Tablas y su rol en el modelo de datos</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608"/>
        <w:gridCol w:w="1701"/>
        <w:gridCol w:w="2608"/>
        <w:gridCol w:w="2721"/>
      </w:tblGrid>
      <w:tr>
        <w:trPr>
          <w:cantSplit/>
          <w:tblHeader/>
        </w:trPr>
        <w:tc>
          <w:tcPr>
            <w:tcW w:type="dxa" w:w="2608"/>
            <w:shd w:val="clear" w:color="auto" w:fill="DCEEE2"/>
          </w:tcPr>
          <w:p>
            <w:r/>
            <w:r>
              <w:rPr>
                <w:b/>
                <w:color w:val="20603D"/>
                <w:sz w:val="17"/>
              </w:rPr>
              <w:t>Tabla</w:t>
            </w:r>
          </w:p>
        </w:tc>
        <w:tc>
          <w:tcPr>
            <w:tcW w:type="dxa" w:w="1701"/>
            <w:shd w:val="clear" w:color="auto" w:fill="DCEEE2"/>
          </w:tcPr>
          <w:p>
            <w:r/>
            <w:r>
              <w:rPr>
                <w:b/>
                <w:color w:val="20603D"/>
                <w:sz w:val="17"/>
              </w:rPr>
              <w:t>Grano (filas)</w:t>
            </w:r>
          </w:p>
        </w:tc>
        <w:tc>
          <w:tcPr>
            <w:tcW w:type="dxa" w:w="2608"/>
            <w:shd w:val="clear" w:color="auto" w:fill="DCEEE2"/>
          </w:tcPr>
          <w:p>
            <w:r/>
            <w:r>
              <w:rPr>
                <w:b/>
                <w:color w:val="20603D"/>
                <w:sz w:val="17"/>
              </w:rPr>
              <w:t>Rol</w:t>
            </w:r>
          </w:p>
        </w:tc>
        <w:tc>
          <w:tcPr>
            <w:tcW w:type="dxa" w:w="2721"/>
            <w:shd w:val="clear" w:color="auto" w:fill="DCEEE2"/>
          </w:tcPr>
          <w:p>
            <w:r/>
            <w:r>
              <w:rPr>
                <w:b/>
                <w:color w:val="20603D"/>
                <w:sz w:val="17"/>
              </w:rPr>
              <w:t>Claves</w:t>
            </w:r>
          </w:p>
        </w:tc>
      </w:tr>
      <w:tr>
        <w:trPr>
          <w:cantSplit/>
        </w:trPr>
        <w:tc>
          <w:tcPr>
            <w:tcW w:type="dxa" w:w="2608"/>
          </w:tcPr>
          <w:p>
            <w:r/>
            <w:r>
              <w:rPr>
                <w:sz w:val="17"/>
              </w:rPr>
              <w:t>rednexo_crm_billing_silver</w:t>
            </w:r>
          </w:p>
        </w:tc>
        <w:tc>
          <w:tcPr>
            <w:tcW w:type="dxa" w:w="1701"/>
          </w:tcPr>
          <w:p>
            <w:r/>
            <w:r>
              <w:rPr>
                <w:sz w:val="17"/>
              </w:rPr>
              <w:t>1 abonado por mes (209.847)</w:t>
            </w:r>
          </w:p>
        </w:tc>
        <w:tc>
          <w:tcPr>
            <w:tcW w:type="dxa" w:w="2608"/>
          </w:tcPr>
          <w:p>
            <w:r/>
            <w:r>
              <w:rPr>
                <w:sz w:val="17"/>
              </w:rPr>
              <w:t>Hecho (instantánea mensual)</w:t>
            </w:r>
          </w:p>
        </w:tc>
        <w:tc>
          <w:tcPr>
            <w:tcW w:type="dxa" w:w="2721"/>
          </w:tcPr>
          <w:p>
            <w:r/>
            <w:r>
              <w:rPr>
                <w:sz w:val="17"/>
              </w:rPr>
              <w:t>abonado_id, periodo_mes, zona, tecnologia</w:t>
            </w:r>
          </w:p>
        </w:tc>
      </w:tr>
      <w:tr>
        <w:trPr>
          <w:cantSplit/>
        </w:trPr>
        <w:tc>
          <w:tcPr>
            <w:tcW w:type="dxa" w:w="2608"/>
          </w:tcPr>
          <w:p>
            <w:r/>
            <w:r>
              <w:rPr>
                <w:sz w:val="17"/>
              </w:rPr>
              <w:t>dim_abonado (Power Query)</w:t>
            </w:r>
          </w:p>
        </w:tc>
        <w:tc>
          <w:tcPr>
            <w:tcW w:type="dxa" w:w="1701"/>
          </w:tcPr>
          <w:p>
            <w:r/>
            <w:r>
              <w:rPr>
                <w:sz w:val="17"/>
              </w:rPr>
              <w:t>1 abonado (8.000)</w:t>
            </w:r>
          </w:p>
        </w:tc>
        <w:tc>
          <w:tcPr>
            <w:tcW w:type="dxa" w:w="2608"/>
          </w:tcPr>
          <w:p>
            <w:r/>
            <w:r>
              <w:rPr>
                <w:sz w:val="17"/>
              </w:rPr>
              <w:t>Dimensión</w:t>
            </w:r>
          </w:p>
        </w:tc>
        <w:tc>
          <w:tcPr>
            <w:tcW w:type="dxa" w:w="2721"/>
          </w:tcPr>
          <w:p>
            <w:r/>
            <w:r>
              <w:rPr>
                <w:sz w:val="17"/>
              </w:rPr>
              <w:t>abonado_id (PK), clave_zt, fecha_alta</w:t>
            </w:r>
          </w:p>
        </w:tc>
      </w:tr>
      <w:tr>
        <w:trPr>
          <w:cantSplit/>
        </w:trPr>
        <w:tc>
          <w:tcPr>
            <w:tcW w:type="dxa" w:w="2608"/>
          </w:tcPr>
          <w:p>
            <w:r/>
            <w:r>
              <w:rPr>
                <w:sz w:val="17"/>
              </w:rPr>
              <w:t>dim_zona_tec (Power Query)</w:t>
            </w:r>
          </w:p>
        </w:tc>
        <w:tc>
          <w:tcPr>
            <w:tcW w:type="dxa" w:w="1701"/>
          </w:tcPr>
          <w:p>
            <w:r/>
            <w:r>
              <w:rPr>
                <w:sz w:val="17"/>
              </w:rPr>
              <w:t>1 zona × tecnología (21)</w:t>
            </w:r>
          </w:p>
        </w:tc>
        <w:tc>
          <w:tcPr>
            <w:tcW w:type="dxa" w:w="2608"/>
          </w:tcPr>
          <w:p>
            <w:r/>
            <w:r>
              <w:rPr>
                <w:sz w:val="17"/>
              </w:rPr>
              <w:t>Dimensión conformada</w:t>
            </w:r>
          </w:p>
        </w:tc>
        <w:tc>
          <w:tcPr>
            <w:tcW w:type="dxa" w:w="2721"/>
          </w:tcPr>
          <w:p>
            <w:r/>
            <w:r>
              <w:rPr>
                <w:sz w:val="17"/>
              </w:rPr>
              <w:t>clave_zt (PK) = zona &amp; "|" &amp; tecnologia</w:t>
            </w:r>
          </w:p>
        </w:tc>
      </w:tr>
      <w:tr>
        <w:trPr>
          <w:cantSplit/>
        </w:trPr>
        <w:tc>
          <w:tcPr>
            <w:tcW w:type="dxa" w:w="2608"/>
          </w:tcPr>
          <w:p>
            <w:r/>
            <w:r>
              <w:rPr>
                <w:sz w:val="17"/>
              </w:rPr>
              <w:t>dim_zona (Power Query)</w:t>
            </w:r>
          </w:p>
        </w:tc>
        <w:tc>
          <w:tcPr>
            <w:tcW w:type="dxa" w:w="1701"/>
          </w:tcPr>
          <w:p>
            <w:r/>
            <w:r>
              <w:rPr>
                <w:sz w:val="17"/>
              </w:rPr>
              <w:t>1 zona (7)</w:t>
            </w:r>
          </w:p>
        </w:tc>
        <w:tc>
          <w:tcPr>
            <w:tcW w:type="dxa" w:w="2608"/>
          </w:tcPr>
          <w:p>
            <w:r/>
            <w:r>
              <w:rPr>
                <w:sz w:val="17"/>
              </w:rPr>
              <w:t>Dimensión</w:t>
            </w:r>
          </w:p>
        </w:tc>
        <w:tc>
          <w:tcPr>
            <w:tcW w:type="dxa" w:w="2721"/>
          </w:tcPr>
          <w:p>
            <w:r/>
            <w:r>
              <w:rPr>
                <w:sz w:val="17"/>
              </w:rPr>
              <w:t>zona (PK)</w:t>
            </w:r>
          </w:p>
        </w:tc>
      </w:tr>
      <w:tr>
        <w:trPr>
          <w:cantSplit/>
        </w:trPr>
        <w:tc>
          <w:tcPr>
            <w:tcW w:type="dxa" w:w="2608"/>
          </w:tcPr>
          <w:p>
            <w:r/>
            <w:r>
              <w:rPr>
                <w:sz w:val="17"/>
              </w:rPr>
              <w:t>rednexo_support_log_silver</w:t>
            </w:r>
          </w:p>
        </w:tc>
        <w:tc>
          <w:tcPr>
            <w:tcW w:type="dxa" w:w="1701"/>
          </w:tcPr>
          <w:p>
            <w:r/>
            <w:r>
              <w:rPr>
                <w:sz w:val="17"/>
              </w:rPr>
              <w:t>1 ticket (12.000)</w:t>
            </w:r>
          </w:p>
        </w:tc>
        <w:tc>
          <w:tcPr>
            <w:tcW w:type="dxa" w:w="2608"/>
          </w:tcPr>
          <w:p>
            <w:r/>
            <w:r>
              <w:rPr>
                <w:sz w:val="17"/>
              </w:rPr>
              <w:t>Hecho</w:t>
            </w:r>
          </w:p>
        </w:tc>
        <w:tc>
          <w:tcPr>
            <w:tcW w:type="dxa" w:w="2721"/>
          </w:tcPr>
          <w:p>
            <w:r/>
            <w:r>
              <w:rPr>
                <w:sz w:val="17"/>
              </w:rPr>
              <w:t>abonado_id, cuadrilla_id</w:t>
            </w:r>
          </w:p>
        </w:tc>
      </w:tr>
      <w:tr>
        <w:trPr>
          <w:cantSplit/>
        </w:trPr>
        <w:tc>
          <w:tcPr>
            <w:tcW w:type="dxa" w:w="2608"/>
          </w:tcPr>
          <w:p>
            <w:r/>
            <w:r>
              <w:rPr>
                <w:sz w:val="17"/>
              </w:rPr>
              <w:t>rednexo_opex_costs_silver</w:t>
            </w:r>
          </w:p>
        </w:tc>
        <w:tc>
          <w:tcPr>
            <w:tcW w:type="dxa" w:w="1701"/>
          </w:tcPr>
          <w:p>
            <w:r/>
            <w:r>
              <w:rPr>
                <w:sz w:val="17"/>
              </w:rPr>
              <w:t>1 nodo por mes (4.536)</w:t>
            </w:r>
          </w:p>
        </w:tc>
        <w:tc>
          <w:tcPr>
            <w:tcW w:type="dxa" w:w="2608"/>
          </w:tcPr>
          <w:p>
            <w:r/>
            <w:r>
              <w:rPr>
                <w:sz w:val="17"/>
              </w:rPr>
              <w:t>Hecho</w:t>
            </w:r>
          </w:p>
        </w:tc>
        <w:tc>
          <w:tcPr>
            <w:tcW w:type="dxa" w:w="2721"/>
          </w:tcPr>
          <w:p>
            <w:r/>
            <w:r>
              <w:rPr>
                <w:sz w:val="17"/>
              </w:rPr>
              <w:t>clave_zt, periodo_mes</w:t>
            </w:r>
          </w:p>
        </w:tc>
      </w:tr>
      <w:tr>
        <w:trPr>
          <w:cantSplit/>
        </w:trPr>
        <w:tc>
          <w:tcPr>
            <w:tcW w:type="dxa" w:w="2608"/>
          </w:tcPr>
          <w:p>
            <w:r/>
            <w:r>
              <w:rPr>
                <w:sz w:val="17"/>
              </w:rPr>
              <w:t>rednexo_capex_migration_silver</w:t>
            </w:r>
          </w:p>
        </w:tc>
        <w:tc>
          <w:tcPr>
            <w:tcW w:type="dxa" w:w="1701"/>
          </w:tcPr>
          <w:p>
            <w:r/>
            <w:r>
              <w:rPr>
                <w:sz w:val="17"/>
              </w:rPr>
              <w:t>1 zona × tecnología (21)</w:t>
            </w:r>
          </w:p>
        </w:tc>
        <w:tc>
          <w:tcPr>
            <w:tcW w:type="dxa" w:w="2608"/>
          </w:tcPr>
          <w:p>
            <w:r/>
            <w:r>
              <w:rPr>
                <w:sz w:val="17"/>
              </w:rPr>
              <w:t>Hecho de referencia</w:t>
            </w:r>
          </w:p>
        </w:tc>
        <w:tc>
          <w:tcPr>
            <w:tcW w:type="dxa" w:w="2721"/>
          </w:tcPr>
          <w:p>
            <w:r/>
            <w:r>
              <w:rPr>
                <w:sz w:val="17"/>
              </w:rPr>
              <w:t>clave_zt</w:t>
            </w:r>
          </w:p>
        </w:tc>
      </w:tr>
      <w:tr>
        <w:trPr>
          <w:cantSplit/>
        </w:trPr>
        <w:tc>
          <w:tcPr>
            <w:tcW w:type="dxa" w:w="2608"/>
          </w:tcPr>
          <w:p>
            <w:r/>
            <w:r>
              <w:rPr>
                <w:sz w:val="17"/>
              </w:rPr>
              <w:t>rednexo_financial_parameters_silver</w:t>
            </w:r>
          </w:p>
        </w:tc>
        <w:tc>
          <w:tcPr>
            <w:tcW w:type="dxa" w:w="1701"/>
          </w:tcPr>
          <w:p>
            <w:r/>
            <w:r>
              <w:rPr>
                <w:sz w:val="17"/>
              </w:rPr>
              <w:t>1 fila</w:t>
            </w:r>
          </w:p>
        </w:tc>
        <w:tc>
          <w:tcPr>
            <w:tcW w:type="dxa" w:w="2608"/>
          </w:tcPr>
          <w:p>
            <w:r/>
            <w:r>
              <w:rPr>
                <w:sz w:val="17"/>
              </w:rPr>
              <w:t>Tabla desconectada</w:t>
            </w:r>
          </w:p>
        </w:tc>
        <w:tc>
          <w:tcPr>
            <w:tcW w:type="dxa" w:w="2721"/>
          </w:tcPr>
          <w:p>
            <w:r/>
            <w:r>
              <w:rPr>
                <w:sz w:val="17"/>
              </w:rPr>
              <w:t>—</w:t>
            </w:r>
          </w:p>
        </w:tc>
      </w:tr>
      <w:tr>
        <w:trPr>
          <w:cantSplit/>
        </w:trPr>
        <w:tc>
          <w:tcPr>
            <w:tcW w:type="dxa" w:w="2608"/>
          </w:tcPr>
          <w:p>
            <w:r/>
            <w:r>
              <w:rPr>
                <w:sz w:val="17"/>
              </w:rPr>
              <w:t>dim_fecha (DAX)</w:t>
            </w:r>
          </w:p>
        </w:tc>
        <w:tc>
          <w:tcPr>
            <w:tcW w:type="dxa" w:w="1701"/>
          </w:tcPr>
          <w:p>
            <w:r/>
            <w:r>
              <w:rPr>
                <w:sz w:val="17"/>
              </w:rPr>
              <w:t>1 día, 2023–2025</w:t>
            </w:r>
          </w:p>
        </w:tc>
        <w:tc>
          <w:tcPr>
            <w:tcW w:type="dxa" w:w="2608"/>
          </w:tcPr>
          <w:p>
            <w:r/>
            <w:r>
              <w:rPr>
                <w:sz w:val="17"/>
              </w:rPr>
              <w:t>Dimensión de fecha</w:t>
            </w:r>
          </w:p>
        </w:tc>
        <w:tc>
          <w:tcPr>
            <w:tcW w:type="dxa" w:w="2721"/>
          </w:tcPr>
          <w:p>
            <w:r/>
            <w:r>
              <w:rPr>
                <w:sz w:val="17"/>
              </w:rPr>
              <w:t>fecha (PK)</w:t>
            </w:r>
          </w:p>
        </w:tc>
      </w:tr>
    </w:tbl>
    <w:p>
      <w:pPr>
        <w:spacing w:after="40"/>
      </w:pPr>
    </w:p>
    <w:p>
      <w:pPr>
        <w:pStyle w:val="Heading2"/>
      </w:pPr>
      <w:r>
        <w:t>Relaciones a crear en el modelo</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494"/>
        <w:gridCol w:w="793"/>
        <w:gridCol w:w="2494"/>
        <w:gridCol w:w="3855"/>
      </w:tblGrid>
      <w:tr>
        <w:trPr>
          <w:cantSplit/>
          <w:tblHeader/>
        </w:trPr>
        <w:tc>
          <w:tcPr>
            <w:tcW w:type="dxa" w:w="2494"/>
            <w:shd w:val="clear" w:color="auto" w:fill="DCEEE2"/>
          </w:tcPr>
          <w:p>
            <w:r/>
            <w:r>
              <w:rPr>
                <w:b/>
                <w:color w:val="20603D"/>
                <w:sz w:val="17"/>
              </w:rPr>
              <w:t>Lado 1</w:t>
            </w:r>
          </w:p>
        </w:tc>
        <w:tc>
          <w:tcPr>
            <w:tcW w:type="dxa" w:w="794"/>
            <w:shd w:val="clear" w:color="auto" w:fill="DCEEE2"/>
          </w:tcPr>
          <w:p>
            <w:r/>
            <w:r>
              <w:rPr>
                <w:b/>
                <w:color w:val="20603D"/>
                <w:sz w:val="17"/>
              </w:rPr>
              <w:t>Card.</w:t>
            </w:r>
          </w:p>
        </w:tc>
        <w:tc>
          <w:tcPr>
            <w:tcW w:type="dxa" w:w="2494"/>
            <w:shd w:val="clear" w:color="auto" w:fill="DCEEE2"/>
          </w:tcPr>
          <w:p>
            <w:r/>
            <w:r>
              <w:rPr>
                <w:b/>
                <w:color w:val="20603D"/>
                <w:sz w:val="17"/>
              </w:rPr>
              <w:t>Lado N</w:t>
            </w:r>
          </w:p>
        </w:tc>
        <w:tc>
          <w:tcPr>
            <w:tcW w:type="dxa" w:w="3855"/>
            <w:shd w:val="clear" w:color="auto" w:fill="DCEEE2"/>
          </w:tcPr>
          <w:p>
            <w:r/>
            <w:r>
              <w:rPr>
                <w:b/>
                <w:color w:val="20603D"/>
                <w:sz w:val="17"/>
              </w:rPr>
              <w:t>Dirección / nota</w:t>
            </w:r>
          </w:p>
        </w:tc>
      </w:tr>
      <w:tr>
        <w:trPr>
          <w:cantSplit/>
        </w:trPr>
        <w:tc>
          <w:tcPr>
            <w:tcW w:type="dxa" w:w="2494"/>
          </w:tcPr>
          <w:p>
            <w:r/>
            <w:r>
              <w:rPr>
                <w:sz w:val="17"/>
              </w:rPr>
              <w:t>dim_zona</w:t>
            </w:r>
          </w:p>
        </w:tc>
        <w:tc>
          <w:tcPr>
            <w:tcW w:type="dxa" w:w="794"/>
          </w:tcPr>
          <w:p>
            <w:r/>
            <w:r>
              <w:rPr>
                <w:sz w:val="17"/>
              </w:rPr>
              <w:t>1 : N</w:t>
            </w:r>
          </w:p>
        </w:tc>
        <w:tc>
          <w:tcPr>
            <w:tcW w:type="dxa" w:w="2494"/>
          </w:tcPr>
          <w:p>
            <w:r/>
            <w:r>
              <w:rPr>
                <w:sz w:val="17"/>
              </w:rPr>
              <w:t>dim_zona_tec</w:t>
            </w:r>
          </w:p>
        </w:tc>
        <w:tc>
          <w:tcPr>
            <w:tcW w:type="dxa" w:w="3855"/>
          </w:tcPr>
          <w:p>
            <w:r/>
            <w:r>
              <w:rPr>
                <w:sz w:val="17"/>
              </w:rPr>
              <w:t>Única</w:t>
            </w:r>
          </w:p>
        </w:tc>
      </w:tr>
      <w:tr>
        <w:trPr>
          <w:cantSplit/>
        </w:trPr>
        <w:tc>
          <w:tcPr>
            <w:tcW w:type="dxa" w:w="2494"/>
          </w:tcPr>
          <w:p>
            <w:r/>
            <w:r>
              <w:rPr>
                <w:sz w:val="17"/>
              </w:rPr>
              <w:t>dim_zona_tec</w:t>
            </w:r>
          </w:p>
        </w:tc>
        <w:tc>
          <w:tcPr>
            <w:tcW w:type="dxa" w:w="794"/>
          </w:tcPr>
          <w:p>
            <w:r/>
            <w:r>
              <w:rPr>
                <w:sz w:val="17"/>
              </w:rPr>
              <w:t>1 : N</w:t>
            </w:r>
          </w:p>
        </w:tc>
        <w:tc>
          <w:tcPr>
            <w:tcW w:type="dxa" w:w="2494"/>
          </w:tcPr>
          <w:p>
            <w:r/>
            <w:r>
              <w:rPr>
                <w:sz w:val="17"/>
              </w:rPr>
              <w:t>dim_abonado / opex_costs / capex_migration</w:t>
            </w:r>
          </w:p>
        </w:tc>
        <w:tc>
          <w:tcPr>
            <w:tcW w:type="dxa" w:w="3855"/>
          </w:tcPr>
          <w:p>
            <w:r/>
            <w:r>
              <w:rPr>
                <w:sz w:val="17"/>
              </w:rPr>
              <w:t>Única, por clave_zt</w:t>
            </w:r>
          </w:p>
        </w:tc>
      </w:tr>
      <w:tr>
        <w:trPr>
          <w:cantSplit/>
        </w:trPr>
        <w:tc>
          <w:tcPr>
            <w:tcW w:type="dxa" w:w="2494"/>
          </w:tcPr>
          <w:p>
            <w:r/>
            <w:r>
              <w:rPr>
                <w:sz w:val="17"/>
              </w:rPr>
              <w:t>dim_abonado</w:t>
            </w:r>
          </w:p>
        </w:tc>
        <w:tc>
          <w:tcPr>
            <w:tcW w:type="dxa" w:w="794"/>
          </w:tcPr>
          <w:p>
            <w:r/>
            <w:r>
              <w:rPr>
                <w:sz w:val="17"/>
              </w:rPr>
              <w:t>1 : N</w:t>
            </w:r>
          </w:p>
        </w:tc>
        <w:tc>
          <w:tcPr>
            <w:tcW w:type="dxa" w:w="2494"/>
          </w:tcPr>
          <w:p>
            <w:r/>
            <w:r>
              <w:rPr>
                <w:sz w:val="17"/>
              </w:rPr>
              <w:t>crm_billing / support_log</w:t>
            </w:r>
          </w:p>
        </w:tc>
        <w:tc>
          <w:tcPr>
            <w:tcW w:type="dxa" w:w="3855"/>
          </w:tcPr>
          <w:p>
            <w:r/>
            <w:r>
              <w:rPr>
                <w:sz w:val="17"/>
              </w:rPr>
              <w:t>Única, por abonado_id</w:t>
            </w:r>
          </w:p>
        </w:tc>
      </w:tr>
      <w:tr>
        <w:trPr>
          <w:cantSplit/>
        </w:trPr>
        <w:tc>
          <w:tcPr>
            <w:tcW w:type="dxa" w:w="2494"/>
          </w:tcPr>
          <w:p>
            <w:r/>
            <w:r>
              <w:rPr>
                <w:sz w:val="17"/>
              </w:rPr>
              <w:t>dim_fecha</w:t>
            </w:r>
          </w:p>
        </w:tc>
        <w:tc>
          <w:tcPr>
            <w:tcW w:type="dxa" w:w="794"/>
          </w:tcPr>
          <w:p>
            <w:r/>
            <w:r>
              <w:rPr>
                <w:sz w:val="17"/>
              </w:rPr>
              <w:t>1 : N</w:t>
            </w:r>
          </w:p>
        </w:tc>
        <w:tc>
          <w:tcPr>
            <w:tcW w:type="dxa" w:w="2494"/>
          </w:tcPr>
          <w:p>
            <w:r/>
            <w:r>
              <w:rPr>
                <w:sz w:val="17"/>
              </w:rPr>
              <w:t>crm_billing[periodo_mes], opex_costs[periodo_mes], support_log[fecha] (fecha de fecha_apertura)</w:t>
            </w:r>
          </w:p>
        </w:tc>
        <w:tc>
          <w:tcPr>
            <w:tcW w:type="dxa" w:w="3855"/>
          </w:tcPr>
          <w:p>
            <w:r/>
            <w:r>
              <w:rPr>
                <w:sz w:val="17"/>
              </w:rPr>
              <w:t>Única</w:t>
            </w:r>
          </w:p>
        </w:tc>
      </w:tr>
      <w:tr>
        <w:trPr>
          <w:cantSplit/>
        </w:trPr>
        <w:tc>
          <w:tcPr>
            <w:tcW w:type="dxa" w:w="2494"/>
          </w:tcPr>
          <w:p>
            <w:r/>
            <w:r>
              <w:rPr>
                <w:sz w:val="17"/>
              </w:rPr>
              <w:t>rednexo_financial_parameters_silver</w:t>
            </w:r>
          </w:p>
        </w:tc>
        <w:tc>
          <w:tcPr>
            <w:tcW w:type="dxa" w:w="794"/>
          </w:tcPr>
          <w:p>
            <w:r/>
            <w:r>
              <w:rPr>
                <w:sz w:val="17"/>
              </w:rPr>
              <w:t>sin relación</w:t>
            </w:r>
          </w:p>
        </w:tc>
        <w:tc>
          <w:tcPr>
            <w:tcW w:type="dxa" w:w="2494"/>
          </w:tcPr>
          <w:p>
            <w:r/>
            <w:r>
              <w:rPr>
                <w:sz w:val="17"/>
              </w:rPr>
              <w:t>—</w:t>
            </w:r>
          </w:p>
        </w:tc>
        <w:tc>
          <w:tcPr>
            <w:tcW w:type="dxa" w:w="3855"/>
          </w:tcPr>
          <w:p>
            <w:r/>
            <w:r>
              <w:rPr>
                <w:sz w:val="17"/>
              </w:rPr>
              <w:t>Se lee con SELECTEDVALUE()</w:t>
            </w:r>
          </w:p>
        </w:tc>
      </w:tr>
    </w:tbl>
    <w:p>
      <w:pPr>
        <w:spacing w:after="40"/>
      </w:pPr>
    </w:p>
    <w:p>
      <w:pPr>
        <w:pStyle w:val="Heading2"/>
      </w:pPr>
      <w:r>
        <w:t>Evidencias que el equipo debe producir</w:t>
      </w:r>
    </w:p>
    <w:p>
      <w:pPr>
        <w:pStyle w:val="Heading3"/>
      </w:pPr>
      <w:r>
        <w:t>Evidencia 1. Relación entre MTTR, reclamos y riesgo de abandono de abonados.</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rednexo_crm_billing_silver</w:t>
            </w:r>
          </w:p>
        </w:tc>
        <w:tc>
          <w:tcPr>
            <w:tcW w:type="dxa" w:w="6520"/>
          </w:tcPr>
          <w:p>
            <w:r/>
            <w:r>
              <w:rPr>
                <w:sz w:val="17"/>
              </w:rPr>
              <w:t>abonado_id, periodo_mes, reclamos_cortes, churn_90d, tecnologia</w:t>
            </w:r>
          </w:p>
        </w:tc>
      </w:tr>
      <w:tr>
        <w:trPr>
          <w:cantSplit/>
        </w:trPr>
        <w:tc>
          <w:tcPr>
            <w:tcW w:type="dxa" w:w="3118"/>
          </w:tcPr>
          <w:p>
            <w:r/>
            <w:r>
              <w:rPr>
                <w:sz w:val="17"/>
              </w:rPr>
              <w:t>rednexo_support_log_silver</w:t>
            </w:r>
          </w:p>
        </w:tc>
        <w:tc>
          <w:tcPr>
            <w:tcW w:type="dxa" w:w="6520"/>
          </w:tcPr>
          <w:p>
            <w:r/>
            <w:r>
              <w:rPr>
                <w:sz w:val="17"/>
              </w:rPr>
              <w:t>abonado_id, mttr_horas</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Crear dim_abonado por referencia a crm_billing: abonado_id, zona, tecnologia, fecha_alta_servicio, quitar duplicados (8.000 filas).</w:t>
      </w:r>
    </w:p>
    <w:p>
      <w:pPr>
        <w:pStyle w:val="ListParagraph"/>
        <w:spacing w:after="40"/>
      </w:pPr>
      <w:r>
        <w:rPr>
          <w:b/>
        </w:rPr>
        <w:t xml:space="preserve">2. </w:t>
      </w:r>
      <w:r>
        <w:rPr>
          <w:b w:val="0"/>
        </w:rPr>
        <w:t>Crear en crm_billing una columna de tramo de reclamos (0, 1, 2, 3+) para el eje.</w:t>
      </w:r>
    </w:p>
    <w:p>
      <w:pPr>
        <w:pStyle w:val="ListParagraph"/>
        <w:spacing w:after="40"/>
      </w:pPr>
      <w:r>
        <w:rPr>
          <w:b/>
        </w:rPr>
        <w:t xml:space="preserve">3. </w:t>
      </w:r>
      <w:r>
        <w:rPr>
          <w:b w:val="0"/>
        </w:rPr>
        <w:t>Usar churn_90d (resultado observado), no churn_risk (indicador por reglas).</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Abonados = DISTINCTCOUNT ( rednexo_crm_billing_silver[abonado_id] )</w:t>
      </w:r>
    </w:p>
    <w:p>
      <w:pPr>
        <w:spacing w:after="0"/>
        <w:ind w:left="170"/>
        <w:shd w:val="clear" w:color="auto" w:fill="F2F5F3"/>
      </w:pPr>
      <w:r>
        <w:rPr>
          <w:rFonts w:ascii="Consolas" w:hAnsi="Consolas" w:eastAsia="Consolas"/>
          <w:sz w:val="16"/>
        </w:rPr>
        <w:t>Tasa Churn 90d = AVERAGE ( rednexo_crm_billing_silver[churn_90d] )</w:t>
      </w:r>
    </w:p>
    <w:p>
      <w:pPr>
        <w:spacing w:after="0"/>
        <w:ind w:left="170"/>
        <w:shd w:val="clear" w:color="auto" w:fill="F2F5F3"/>
      </w:pPr>
      <w:r>
        <w:rPr>
          <w:rFonts w:ascii="Consolas" w:hAnsi="Consolas" w:eastAsia="Consolas"/>
          <w:sz w:val="16"/>
        </w:rPr>
        <w:t>Abonados Último Mes =</w:t>
      </w:r>
    </w:p>
    <w:p>
      <w:pPr>
        <w:spacing w:after="0"/>
        <w:ind w:left="170"/>
        <w:shd w:val="clear" w:color="auto" w:fill="F2F5F3"/>
      </w:pPr>
      <w:r>
        <w:rPr>
          <w:rFonts w:ascii="Consolas" w:hAnsi="Consolas" w:eastAsia="Consolas"/>
          <w:sz w:val="16"/>
        </w:rPr>
        <w:t>VAR u = MAX ( rednexo_crm_billing_silver[periodo_mes] )</w:t>
      </w:r>
    </w:p>
    <w:p>
      <w:pPr>
        <w:spacing w:after="0"/>
        <w:ind w:left="170"/>
        <w:shd w:val="clear" w:color="auto" w:fill="F2F5F3"/>
      </w:pPr>
      <w:r>
        <w:rPr>
          <w:rFonts w:ascii="Consolas" w:hAnsi="Consolas" w:eastAsia="Consolas"/>
          <w:sz w:val="16"/>
        </w:rPr>
        <w:t>RETURN CALCULATE ( [Abonados], rednexo_crm_billing_silver[periodo_mes] = u )</w:t>
      </w:r>
    </w:p>
    <w:p>
      <w:pPr>
        <w:spacing w:after="0"/>
        <w:ind w:left="170"/>
        <w:shd w:val="clear" w:color="auto" w:fill="F2F5F3"/>
      </w:pPr>
      <w:r>
        <w:rPr>
          <w:rFonts w:ascii="Consolas" w:hAnsi="Consolas" w:eastAsia="Consolas"/>
          <w:sz w:val="16"/>
        </w:rPr>
        <w:t>N Tickets = COUNTROWS ( rednexo_support_log_silver )</w:t>
      </w:r>
    </w:p>
    <w:p>
      <w:pPr>
        <w:spacing w:after="0"/>
        <w:ind w:left="170"/>
        <w:shd w:val="clear" w:color="auto" w:fill="F2F5F3"/>
      </w:pPr>
      <w:r>
        <w:rPr>
          <w:rFonts w:ascii="Consolas" w:hAnsi="Consolas" w:eastAsia="Consolas"/>
          <w:sz w:val="16"/>
        </w:rPr>
        <w:t>MTTR Promedio (h) = AVERAGE ( rednexo_support_log_silver[mttr_horas]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Filas · abonados · meses</w:t>
            </w:r>
          </w:p>
        </w:tc>
        <w:tc>
          <w:tcPr>
            <w:tcW w:type="dxa" w:w="4535"/>
          </w:tcPr>
          <w:p>
            <w:r/>
            <w:r>
              <w:rPr>
                <w:b/>
                <w:sz w:val="17"/>
              </w:rPr>
              <w:t>209.847 · 8.000 · 36</w:t>
            </w:r>
          </w:p>
        </w:tc>
      </w:tr>
      <w:tr>
        <w:trPr>
          <w:cantSplit/>
        </w:trPr>
        <w:tc>
          <w:tcPr>
            <w:tcW w:type="dxa" w:w="5102"/>
          </w:tcPr>
          <w:p>
            <w:r/>
            <w:r>
              <w:rPr>
                <w:sz w:val="17"/>
              </w:rPr>
              <w:t>Tasa de churn a 90 días (abonado-mes)</w:t>
            </w:r>
          </w:p>
        </w:tc>
        <w:tc>
          <w:tcPr>
            <w:tcW w:type="dxa" w:w="4535"/>
          </w:tcPr>
          <w:p>
            <w:r/>
            <w:r>
              <w:rPr>
                <w:b/>
                <w:sz w:val="17"/>
              </w:rPr>
              <w:t>5,06 %</w:t>
            </w:r>
          </w:p>
        </w:tc>
      </w:tr>
      <w:tr>
        <w:trPr>
          <w:cantSplit/>
        </w:trPr>
        <w:tc>
          <w:tcPr>
            <w:tcW w:type="dxa" w:w="5102"/>
          </w:tcPr>
          <w:p>
            <w:r/>
            <w:r>
              <w:rPr>
                <w:sz w:val="17"/>
              </w:rPr>
              <w:t>Churn por reclamos del mes</w:t>
            </w:r>
          </w:p>
        </w:tc>
        <w:tc>
          <w:tcPr>
            <w:tcW w:type="dxa" w:w="4535"/>
          </w:tcPr>
          <w:p>
            <w:r/>
            <w:r>
              <w:rPr>
                <w:b/>
                <w:sz w:val="17"/>
              </w:rPr>
              <w:t>0: 3,7 % · 1: 6,1 % · 2: 10,3 % · 3+: 20,5 %</w:t>
            </w:r>
          </w:p>
        </w:tc>
      </w:tr>
      <w:tr>
        <w:trPr>
          <w:cantSplit/>
        </w:trPr>
        <w:tc>
          <w:tcPr>
            <w:tcW w:type="dxa" w:w="5102"/>
          </w:tcPr>
          <w:p>
            <w:r/>
            <w:r>
              <w:rPr>
                <w:sz w:val="17"/>
              </w:rPr>
              <w:t>Churn por tecnología</w:t>
            </w:r>
          </w:p>
        </w:tc>
        <w:tc>
          <w:tcPr>
            <w:tcW w:type="dxa" w:w="4535"/>
          </w:tcPr>
          <w:p>
            <w:r/>
            <w:r>
              <w:rPr>
                <w:b/>
                <w:sz w:val="17"/>
              </w:rPr>
              <w:t>Cobre 11,25 % · Wireless 4,70 % · FTTH 2,29 %</w:t>
            </w:r>
          </w:p>
        </w:tc>
      </w:tr>
      <w:tr>
        <w:trPr>
          <w:cantSplit/>
        </w:trPr>
        <w:tc>
          <w:tcPr>
            <w:tcW w:type="dxa" w:w="5102"/>
          </w:tcPr>
          <w:p>
            <w:r/>
            <w:r>
              <w:rPr>
                <w:sz w:val="17"/>
              </w:rPr>
              <w:t>Abonados en diciembre de 2025</w:t>
            </w:r>
          </w:p>
        </w:tc>
        <w:tc>
          <w:tcPr>
            <w:tcW w:type="dxa" w:w="4535"/>
          </w:tcPr>
          <w:p>
            <w:r/>
            <w:r>
              <w:rPr>
                <w:b/>
                <w:sz w:val="17"/>
              </w:rPr>
              <w:t>4.390</w:t>
            </w:r>
          </w:p>
        </w:tc>
      </w:tr>
      <w:tr>
        <w:trPr>
          <w:cantSplit/>
        </w:trPr>
        <w:tc>
          <w:tcPr>
            <w:tcW w:type="dxa" w:w="5102"/>
          </w:tcPr>
          <w:p>
            <w:r/>
            <w:r>
              <w:rPr>
                <w:sz w:val="17"/>
              </w:rPr>
              <w:t>MTTR promedio</w:t>
            </w:r>
          </w:p>
        </w:tc>
        <w:tc>
          <w:tcPr>
            <w:tcW w:type="dxa" w:w="4535"/>
          </w:tcPr>
          <w:p>
            <w:r/>
            <w:r>
              <w:rPr>
                <w:b/>
                <w:sz w:val="17"/>
              </w:rPr>
              <w:t>5,56 h</w:t>
            </w:r>
          </w:p>
        </w:tc>
      </w:tr>
    </w:tbl>
    <w:p>
      <w:pPr>
        <w:spacing w:after="40"/>
      </w:pPr>
    </w:p>
    <w:p>
      <w:pPr>
        <w:spacing w:after="120"/>
      </w:pPr>
      <w:r>
        <w:rPr>
          <w:b/>
          <w:color w:val="B04A1A"/>
        </w:rPr>
        <w:t xml:space="preserve">Riesgo a vigilar: </w:t>
      </w:r>
      <w:r>
        <w:rPr>
          <w:b w:val="0"/>
        </w:rPr>
        <w:t>Contar filas de crm_billing cuenta abonado-meses, no abonados: use DISTINCTCOUNT. Y cuidado con comparar abonados con y sin ticket: los que se dan de baja pronto tienen menos meses para abrir tickets, por eso su churn aparece mucho mayor (78,6 % frente a 34,5 %). Compare tasas por abonado-mes, no por abonado.</w:t>
      </w:r>
    </w:p>
    <w:p>
      <w:pPr>
        <w:pStyle w:val="Heading3"/>
      </w:pPr>
      <w:r>
        <w:t>Evidencia 2. Costo total y beneficio esperado de la migración por zona y tecnología.</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rednexo_opex_costs_silver</w:t>
            </w:r>
          </w:p>
        </w:tc>
        <w:tc>
          <w:tcPr>
            <w:tcW w:type="dxa" w:w="6520"/>
          </w:tcPr>
          <w:p>
            <w:r/>
            <w:r>
              <w:rPr>
                <w:sz w:val="17"/>
              </w:rPr>
              <w:t>nodo_id, zona, tecnologia, periodo_mes, costo_mantenimiento_mensual_bob</w:t>
            </w:r>
          </w:p>
        </w:tc>
      </w:tr>
      <w:tr>
        <w:trPr>
          <w:cantSplit/>
        </w:trPr>
        <w:tc>
          <w:tcPr>
            <w:tcW w:type="dxa" w:w="3118"/>
          </w:tcPr>
          <w:p>
            <w:r/>
            <w:r>
              <w:rPr>
                <w:sz w:val="17"/>
              </w:rPr>
              <w:t>rednexo_capex_migration_silver</w:t>
            </w:r>
          </w:p>
        </w:tc>
        <w:tc>
          <w:tcPr>
            <w:tcW w:type="dxa" w:w="6520"/>
          </w:tcPr>
          <w:p>
            <w:r/>
            <w:r>
              <w:rPr>
                <w:sz w:val="17"/>
              </w:rPr>
              <w:t>zona, tecnologia, costo_migracion_ftth_bob</w:t>
            </w:r>
          </w:p>
        </w:tc>
      </w:tr>
      <w:tr>
        <w:trPr>
          <w:cantSplit/>
        </w:trPr>
        <w:tc>
          <w:tcPr>
            <w:tcW w:type="dxa" w:w="3118"/>
          </w:tcPr>
          <w:p>
            <w:r/>
            <w:r>
              <w:rPr>
                <w:sz w:val="17"/>
              </w:rPr>
              <w:t>rednexo_crm_billing_silver</w:t>
            </w:r>
          </w:p>
        </w:tc>
        <w:tc>
          <w:tcPr>
            <w:tcW w:type="dxa" w:w="6520"/>
          </w:tcPr>
          <w:p>
            <w:r/>
            <w:r>
              <w:rPr>
                <w:sz w:val="17"/>
              </w:rPr>
              <w:t>tarifa_mensual_bob, tecnologia</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Crear clave_zt = zona &amp; "|" &amp; tecnologia en crm_billing (o dim_abonado), opex, capex y nodos; dim_zona_tec toma los 21 valores distintos de capex.</w:t>
      </w:r>
    </w:p>
    <w:p>
      <w:pPr>
        <w:pStyle w:val="ListParagraph"/>
        <w:spacing w:after="40"/>
      </w:pPr>
      <w:r>
        <w:rPr>
          <w:b/>
        </w:rPr>
        <w:t xml:space="preserve">2. </w:t>
      </w:r>
      <w:r>
        <w:rPr>
          <w:b w:val="0"/>
        </w:rPr>
        <w:t>El beneficio de migrar se mide como ahorro: OPEX por nodo-mes de la tecnología legada menos el de FTTH, por el número de nodos.</w:t>
      </w:r>
    </w:p>
    <w:p>
      <w:pPr>
        <w:pStyle w:val="ListParagraph"/>
        <w:spacing w:after="40"/>
      </w:pPr>
      <w:r>
        <w:rPr>
          <w:b/>
        </w:rPr>
        <w:t xml:space="preserve">3. </w:t>
      </w:r>
      <w:r>
        <w:rPr>
          <w:b w:val="0"/>
        </w:rPr>
        <w:t>Filtrar el año 2025 para la base del escenario.</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OPEX (Bs) = SUM ( rednexo_opex_costs_silver[costo_mantenimiento_mensual_bob] )</w:t>
      </w:r>
    </w:p>
    <w:p>
      <w:pPr>
        <w:spacing w:after="0"/>
        <w:ind w:left="170"/>
        <w:shd w:val="clear" w:color="auto" w:fill="F2F5F3"/>
      </w:pPr>
      <w:r>
        <w:rPr>
          <w:rFonts w:ascii="Consolas" w:hAnsi="Consolas" w:eastAsia="Consolas"/>
          <w:sz w:val="16"/>
        </w:rPr>
        <w:t>OPEX por Nodo-Mes (Bs) = AVERAGE ( rednexo_opex_costs_silver[costo_mantenimiento_mensual_bob] )</w:t>
      </w:r>
    </w:p>
    <w:p>
      <w:pPr>
        <w:spacing w:after="0"/>
        <w:ind w:left="170"/>
        <w:shd w:val="clear" w:color="auto" w:fill="F2F5F3"/>
      </w:pPr>
      <w:r>
        <w:rPr>
          <w:rFonts w:ascii="Consolas" w:hAnsi="Consolas" w:eastAsia="Consolas"/>
          <w:sz w:val="16"/>
        </w:rPr>
        <w:t>Nodos = DISTINCTCOUNT ( rednexo_opex_costs_silver[nodo_id] )</w:t>
      </w:r>
    </w:p>
    <w:p>
      <w:pPr>
        <w:spacing w:after="0"/>
        <w:ind w:left="170"/>
        <w:shd w:val="clear" w:color="auto" w:fill="F2F5F3"/>
      </w:pPr>
      <w:r>
        <w:rPr>
          <w:rFonts w:ascii="Consolas" w:hAnsi="Consolas" w:eastAsia="Consolas"/>
          <w:sz w:val="16"/>
        </w:rPr>
        <w:t>CAPEX Migración (Bs) = SUM ( rednexo_capex_migration_silver[costo_migracion_ftth_bob] )</w:t>
      </w:r>
    </w:p>
    <w:p>
      <w:pPr>
        <w:spacing w:after="0"/>
        <w:ind w:left="170"/>
        <w:shd w:val="clear" w:color="auto" w:fill="F2F5F3"/>
      </w:pPr>
      <w:r>
        <w:rPr>
          <w:rFonts w:ascii="Consolas" w:hAnsi="Consolas" w:eastAsia="Consolas"/>
          <w:sz w:val="16"/>
        </w:rPr>
        <w:t>Ahorro OPEX Mensual (Bs) =</w:t>
      </w:r>
    </w:p>
    <w:p>
      <w:pPr>
        <w:spacing w:after="0"/>
        <w:ind w:left="170"/>
        <w:shd w:val="clear" w:color="auto" w:fill="F2F5F3"/>
      </w:pPr>
      <w:r>
        <w:rPr>
          <w:rFonts w:ascii="Consolas" w:hAnsi="Consolas" w:eastAsia="Consolas"/>
          <w:sz w:val="16"/>
        </w:rPr>
        <w:t>VAR ftth = CALCULATE ( [OPEX por Nodo-Mes (Bs)], dim_zona_tec[tecnologia] = "FTTH" )</w:t>
      </w:r>
    </w:p>
    <w:p>
      <w:pPr>
        <w:spacing w:after="0"/>
        <w:ind w:left="170"/>
        <w:shd w:val="clear" w:color="auto" w:fill="F2F5F3"/>
      </w:pPr>
      <w:r>
        <w:rPr>
          <w:rFonts w:ascii="Consolas" w:hAnsi="Consolas" w:eastAsia="Consolas"/>
          <w:sz w:val="16"/>
        </w:rPr>
        <w:t>RETURN ( [OPEX por Nodo-Mes (Bs)] - ftth ) * [Nodos]</w:t>
      </w:r>
    </w:p>
    <w:p>
      <w:pPr>
        <w:spacing w:after="0"/>
        <w:ind w:left="170"/>
        <w:shd w:val="clear" w:color="auto" w:fill="F2F5F3"/>
      </w:pPr>
      <w:r>
        <w:rPr>
          <w:rFonts w:ascii="Consolas" w:hAnsi="Consolas" w:eastAsia="Consolas"/>
          <w:sz w:val="16"/>
        </w:rPr>
        <w:t>Ingreso (Bs) = SUM ( rednexo_crm_billing_silver[tarifa_mensual_bob]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OPEX por nodo-mes, 2025</w:t>
            </w:r>
          </w:p>
        </w:tc>
        <w:tc>
          <w:tcPr>
            <w:tcW w:type="dxa" w:w="4535"/>
          </w:tcPr>
          <w:p>
            <w:r/>
            <w:r>
              <w:rPr>
                <w:b/>
                <w:sz w:val="17"/>
              </w:rPr>
              <w:t>Cobre 73.414 · Wireless 48.423 · FTTH 31.445</w:t>
            </w:r>
          </w:p>
        </w:tc>
      </w:tr>
      <w:tr>
        <w:trPr>
          <w:cantSplit/>
        </w:trPr>
        <w:tc>
          <w:tcPr>
            <w:tcW w:type="dxa" w:w="5102"/>
          </w:tcPr>
          <w:p>
            <w:r/>
            <w:r>
              <w:rPr>
                <w:sz w:val="17"/>
              </w:rPr>
              <w:t>Nodos por tecnología</w:t>
            </w:r>
          </w:p>
        </w:tc>
        <w:tc>
          <w:tcPr>
            <w:tcW w:type="dxa" w:w="4535"/>
          </w:tcPr>
          <w:p>
            <w:r/>
            <w:r>
              <w:rPr>
                <w:b/>
                <w:sz w:val="17"/>
              </w:rPr>
              <w:t>42 · 42 · 42</w:t>
            </w:r>
          </w:p>
        </w:tc>
      </w:tr>
      <w:tr>
        <w:trPr>
          <w:cantSplit/>
        </w:trPr>
        <w:tc>
          <w:tcPr>
            <w:tcW w:type="dxa" w:w="5102"/>
          </w:tcPr>
          <w:p>
            <w:r/>
            <w:r>
              <w:rPr>
                <w:sz w:val="17"/>
              </w:rPr>
              <w:t>Ahorro OPEX mensual si migra</w:t>
            </w:r>
          </w:p>
        </w:tc>
        <w:tc>
          <w:tcPr>
            <w:tcW w:type="dxa" w:w="4535"/>
          </w:tcPr>
          <w:p>
            <w:r/>
            <w:r>
              <w:rPr>
                <w:b/>
                <w:sz w:val="17"/>
              </w:rPr>
              <w:t>Cobre 1.762.671 · Wireless 713.046</w:t>
            </w:r>
          </w:p>
        </w:tc>
      </w:tr>
      <w:tr>
        <w:trPr>
          <w:cantSplit/>
        </w:trPr>
        <w:tc>
          <w:tcPr>
            <w:tcW w:type="dxa" w:w="5102"/>
          </w:tcPr>
          <w:p>
            <w:r/>
            <w:r>
              <w:rPr>
                <w:sz w:val="17"/>
              </w:rPr>
              <w:t>CAPEX de migración</w:t>
            </w:r>
          </w:p>
        </w:tc>
        <w:tc>
          <w:tcPr>
            <w:tcW w:type="dxa" w:w="4535"/>
          </w:tcPr>
          <w:p>
            <w:r/>
            <w:r>
              <w:rPr>
                <w:b/>
                <w:sz w:val="17"/>
              </w:rPr>
              <w:t>Cobre 7.368.508 · Wireless 4.210.041 · FTTH 0 · total 11.578.549</w:t>
            </w:r>
          </w:p>
        </w:tc>
      </w:tr>
      <w:tr>
        <w:trPr>
          <w:cantSplit/>
        </w:trPr>
        <w:tc>
          <w:tcPr>
            <w:tcW w:type="dxa" w:w="5102"/>
          </w:tcPr>
          <w:p>
            <w:r/>
            <w:r>
              <w:rPr>
                <w:sz w:val="17"/>
              </w:rPr>
              <w:t>Ingreso mensual frente a OPEX mensual, 2025</w:t>
            </w:r>
          </w:p>
        </w:tc>
        <w:tc>
          <w:tcPr>
            <w:tcW w:type="dxa" w:w="4535"/>
          </w:tcPr>
          <w:p>
            <w:r/>
            <w:r>
              <w:rPr>
                <w:b/>
                <w:sz w:val="17"/>
              </w:rPr>
              <w:t>Bs 1.419.421 frente a Bs 6.437.846</w:t>
            </w:r>
          </w:p>
        </w:tc>
      </w:tr>
    </w:tbl>
    <w:p>
      <w:pPr>
        <w:spacing w:after="40"/>
      </w:pPr>
    </w:p>
    <w:p>
      <w:pPr>
        <w:spacing w:after="120"/>
      </w:pPr>
      <w:r>
        <w:rPr>
          <w:b/>
          <w:color w:val="B04A1A"/>
        </w:rPr>
        <w:t xml:space="preserve">Riesgo a vigilar: </w:t>
      </w:r>
      <w:r>
        <w:rPr>
          <w:b w:val="0"/>
        </w:rPr>
        <w:t>En v10 el OPEX total de la red es unas 4,5 veces el ingreso por abonados: cualquier margen absoluto por tecnología sale negativo. Por eso la evidencia compara el ahorro incremental de migrar, no la rentabilidad absoluta. Declárelo como limitación del caso. Sin el REMOVEFILTERS implícito del filtro «FTTH», la medida compararía la tecnología consigo misma y el ahorro daría 0.</w:t>
      </w:r>
    </w:p>
    <w:p>
      <w:pPr>
        <w:pStyle w:val="Heading3"/>
      </w:pPr>
      <w:r>
        <w:t>Evidencia 3. Escenarios comparables de inversión con una misma tasa, horizonte y costo de adquisición.</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rednexo_financial_parameters_silver</w:t>
            </w:r>
          </w:p>
        </w:tc>
        <w:tc>
          <w:tcPr>
            <w:tcW w:type="dxa" w:w="6520"/>
          </w:tcPr>
          <w:p>
            <w:r/>
            <w:r>
              <w:rPr>
                <w:sz w:val="17"/>
              </w:rPr>
              <w:t>tasa_descuento_anual (12 %), periodo_evaluacion_meses (60), costo_adquisicion_cliente_bob (480), crecimiento_tarifa_anual (3,5 %)</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Leer todos los parámetros de la tabla desconectada con SELECTEDVALUE().</w:t>
      </w:r>
    </w:p>
    <w:p>
      <w:pPr>
        <w:pStyle w:val="ListParagraph"/>
        <w:spacing w:after="40"/>
      </w:pPr>
      <w:r>
        <w:rPr>
          <w:b/>
        </w:rPr>
        <w:t xml:space="preserve">2. </w:t>
      </w:r>
      <w:r>
        <w:rPr>
          <w:b w:val="0"/>
        </w:rPr>
        <w:t>Flujo mensual del escenario = ahorro de OPEX + bajas evitadas × CAC. Las bajas evitadas son abonados medios × (churn de la tecnología − churn de FTTH) / 3, porque churn_90d es una probabilidad a tres meses.</w:t>
      </w:r>
    </w:p>
    <w:p>
      <w:pPr>
        <w:pStyle w:val="ListParagraph"/>
        <w:spacing w:after="40"/>
      </w:pPr>
      <w:r>
        <w:rPr>
          <w:b/>
        </w:rPr>
        <w:t xml:space="preserve">3. </w:t>
      </w:r>
      <w:r>
        <w:rPr>
          <w:b w:val="0"/>
        </w:rPr>
        <w:t>El crecimiento de tarifa afecta al ingreso, que no cambia al migrar: úselo en la Sesión 10 como parámetro What-if adicional.</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Tasa Mensual = ( 1 + SELECTEDVALUE ( rednexo_financial_parameters_silver[tasa_descuento_anual] ) ) ^ ( 1 / 12 ) - 1</w:t>
      </w:r>
    </w:p>
    <w:p>
      <w:pPr>
        <w:spacing w:after="0"/>
        <w:ind w:left="170"/>
        <w:shd w:val="clear" w:color="auto" w:fill="F2F5F3"/>
      </w:pPr>
      <w:r>
        <w:rPr>
          <w:rFonts w:ascii="Consolas" w:hAnsi="Consolas" w:eastAsia="Consolas"/>
          <w:sz w:val="16"/>
        </w:rPr>
        <w:t>Factor Anualidad =</w:t>
      </w:r>
    </w:p>
    <w:p>
      <w:pPr>
        <w:spacing w:after="0"/>
        <w:ind w:left="170"/>
        <w:shd w:val="clear" w:color="auto" w:fill="F2F5F3"/>
      </w:pPr>
      <w:r>
        <w:rPr>
          <w:rFonts w:ascii="Consolas" w:hAnsi="Consolas" w:eastAsia="Consolas"/>
          <w:sz w:val="16"/>
        </w:rPr>
        <w:t>VAR r = [Tasa Mensual]</w:t>
      </w:r>
    </w:p>
    <w:p>
      <w:pPr>
        <w:spacing w:after="0"/>
        <w:ind w:left="170"/>
        <w:shd w:val="clear" w:color="auto" w:fill="F2F5F3"/>
      </w:pPr>
      <w:r>
        <w:rPr>
          <w:rFonts w:ascii="Consolas" w:hAnsi="Consolas" w:eastAsia="Consolas"/>
          <w:sz w:val="16"/>
        </w:rPr>
        <w:t>VAR n = SELECTEDVALUE ( rednexo_financial_parameters_silver[periodo_evaluacion_meses] )</w:t>
      </w:r>
    </w:p>
    <w:p>
      <w:pPr>
        <w:spacing w:after="0"/>
        <w:ind w:left="170"/>
        <w:shd w:val="clear" w:color="auto" w:fill="F2F5F3"/>
      </w:pPr>
      <w:r>
        <w:rPr>
          <w:rFonts w:ascii="Consolas" w:hAnsi="Consolas" w:eastAsia="Consolas"/>
          <w:sz w:val="16"/>
        </w:rPr>
        <w:t>RETURN DIVIDE ( 1 - ( 1 + r ) ^ ( -n ), r )</w:t>
      </w:r>
    </w:p>
    <w:p>
      <w:pPr>
        <w:spacing w:after="0"/>
        <w:ind w:left="170"/>
        <w:shd w:val="clear" w:color="auto" w:fill="F2F5F3"/>
      </w:pPr>
      <w:r>
        <w:rPr>
          <w:rFonts w:ascii="Consolas" w:hAnsi="Consolas" w:eastAsia="Consolas"/>
          <w:sz w:val="16"/>
        </w:rPr>
        <w:t>Abonados Medios = DIVIDE ( COUNTROWS ( rednexo_crm_billing_silver ), DISTINCTCOUNT ( rednexo_crm_billing_silver[periodo_mes] ) )</w:t>
      </w:r>
    </w:p>
    <w:p>
      <w:pPr>
        <w:spacing w:after="0"/>
        <w:ind w:left="170"/>
        <w:shd w:val="clear" w:color="auto" w:fill="F2F5F3"/>
      </w:pPr>
      <w:r>
        <w:rPr>
          <w:rFonts w:ascii="Consolas" w:hAnsi="Consolas" w:eastAsia="Consolas"/>
          <w:sz w:val="16"/>
        </w:rPr>
        <w:t>Bajas Evitadas Mes =</w:t>
      </w:r>
    </w:p>
    <w:p>
      <w:pPr>
        <w:spacing w:after="0"/>
        <w:ind w:left="170"/>
        <w:shd w:val="clear" w:color="auto" w:fill="F2F5F3"/>
      </w:pPr>
      <w:r>
        <w:rPr>
          <w:rFonts w:ascii="Consolas" w:hAnsi="Consolas" w:eastAsia="Consolas"/>
          <w:sz w:val="16"/>
        </w:rPr>
        <w:t>VAR ftth = CALCULATE ( [Tasa Churn 90d], dim_zona_tec[tecnologia] = "FTTH" )</w:t>
      </w:r>
    </w:p>
    <w:p>
      <w:pPr>
        <w:spacing w:after="0"/>
        <w:ind w:left="170"/>
        <w:shd w:val="clear" w:color="auto" w:fill="F2F5F3"/>
      </w:pPr>
      <w:r>
        <w:rPr>
          <w:rFonts w:ascii="Consolas" w:hAnsi="Consolas" w:eastAsia="Consolas"/>
          <w:sz w:val="16"/>
        </w:rPr>
        <w:t>RETURN [Abonados Medios] * ( [Tasa Churn 90d] - ftth ) / 3</w:t>
      </w:r>
    </w:p>
    <w:p>
      <w:pPr>
        <w:spacing w:after="0"/>
        <w:ind w:left="170"/>
        <w:shd w:val="clear" w:color="auto" w:fill="F2F5F3"/>
      </w:pPr>
      <w:r>
        <w:rPr>
          <w:rFonts w:ascii="Consolas" w:hAnsi="Consolas" w:eastAsia="Consolas"/>
          <w:sz w:val="16"/>
        </w:rPr>
        <w:t>Flujo Mensual Migración (Bs) = [Ahorro OPEX Mensual (Bs)] + [Bajas Evitadas Mes] * SELECTEDVALUE ( rednexo_financial_parameters_silver[costo_adquisicion_cliente_bob] )</w:t>
      </w:r>
    </w:p>
    <w:p>
      <w:pPr>
        <w:spacing w:after="0"/>
        <w:ind w:left="170"/>
        <w:shd w:val="clear" w:color="auto" w:fill="F2F5F3"/>
      </w:pPr>
      <w:r>
        <w:rPr>
          <w:rFonts w:ascii="Consolas" w:hAnsi="Consolas" w:eastAsia="Consolas"/>
          <w:sz w:val="16"/>
        </w:rPr>
        <w:t>VAN Migración (Bs) = [Flujo Mensual Migración (Bs)] * [Factor Anualidad] - [CAPEX Migración (Bs)]</w:t>
      </w:r>
    </w:p>
    <w:p>
      <w:pPr>
        <w:spacing w:after="0"/>
        <w:ind w:left="170"/>
        <w:shd w:val="clear" w:color="auto" w:fill="F2F5F3"/>
      </w:pPr>
      <w:r>
        <w:rPr>
          <w:rFonts w:ascii="Consolas" w:hAnsi="Consolas" w:eastAsia="Consolas"/>
          <w:sz w:val="16"/>
        </w:rPr>
        <w:t>Payback (meses) = DIVIDE ( [CAPEX Migración (Bs)], [Flujo Mensual Migración (Bs)]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Tasa mensual · factor de anualidad (60 meses)</w:t>
            </w:r>
          </w:p>
        </w:tc>
        <w:tc>
          <w:tcPr>
            <w:tcW w:type="dxa" w:w="4535"/>
          </w:tcPr>
          <w:p>
            <w:r/>
            <w:r>
              <w:rPr>
                <w:b/>
                <w:sz w:val="17"/>
              </w:rPr>
              <w:t>0,9489 % · 45,588</w:t>
            </w:r>
          </w:p>
        </w:tc>
      </w:tr>
      <w:tr>
        <w:trPr>
          <w:cantSplit/>
        </w:trPr>
        <w:tc>
          <w:tcPr>
            <w:tcW w:type="dxa" w:w="5102"/>
          </w:tcPr>
          <w:p>
            <w:r/>
            <w:r>
              <w:rPr>
                <w:sz w:val="17"/>
              </w:rPr>
              <w:t>Bajas evitadas por mes</w:t>
            </w:r>
          </w:p>
        </w:tc>
        <w:tc>
          <w:tcPr>
            <w:tcW w:type="dxa" w:w="4535"/>
          </w:tcPr>
          <w:p>
            <w:r/>
            <w:r>
              <w:rPr>
                <w:b/>
                <w:sz w:val="17"/>
              </w:rPr>
              <w:t>Cobre 22,5 · Wireless 7,0</w:t>
            </w:r>
          </w:p>
        </w:tc>
      </w:tr>
      <w:tr>
        <w:trPr>
          <w:cantSplit/>
        </w:trPr>
        <w:tc>
          <w:tcPr>
            <w:tcW w:type="dxa" w:w="5102"/>
          </w:tcPr>
          <w:p>
            <w:r/>
            <w:r>
              <w:rPr>
                <w:sz w:val="17"/>
              </w:rPr>
              <w:t>Flujo mensual del escenario</w:t>
            </w:r>
          </w:p>
        </w:tc>
        <w:tc>
          <w:tcPr>
            <w:tcW w:type="dxa" w:w="4535"/>
          </w:tcPr>
          <w:p>
            <w:r/>
            <w:r>
              <w:rPr>
                <w:b/>
                <w:sz w:val="17"/>
              </w:rPr>
              <w:t>Cobre 1.773.478 · Wireless 716.392</w:t>
            </w:r>
          </w:p>
        </w:tc>
      </w:tr>
      <w:tr>
        <w:trPr>
          <w:cantSplit/>
        </w:trPr>
        <w:tc>
          <w:tcPr>
            <w:tcW w:type="dxa" w:w="5102"/>
          </w:tcPr>
          <w:p>
            <w:r/>
            <w:r>
              <w:rPr>
                <w:sz w:val="17"/>
              </w:rPr>
              <w:t>VAN a 60 meses</w:t>
            </w:r>
          </w:p>
        </w:tc>
        <w:tc>
          <w:tcPr>
            <w:tcW w:type="dxa" w:w="4535"/>
          </w:tcPr>
          <w:p>
            <w:r/>
            <w:r>
              <w:rPr>
                <w:b/>
                <w:sz w:val="17"/>
              </w:rPr>
              <w:t>Cobre 73.480.429 · Wireless 28.448.671</w:t>
            </w:r>
          </w:p>
        </w:tc>
      </w:tr>
      <w:tr>
        <w:trPr>
          <w:cantSplit/>
        </w:trPr>
        <w:tc>
          <w:tcPr>
            <w:tcW w:type="dxa" w:w="5102"/>
          </w:tcPr>
          <w:p>
            <w:r/>
            <w:r>
              <w:rPr>
                <w:sz w:val="17"/>
              </w:rPr>
              <w:t>Payback</w:t>
            </w:r>
          </w:p>
        </w:tc>
        <w:tc>
          <w:tcPr>
            <w:tcW w:type="dxa" w:w="4535"/>
          </w:tcPr>
          <w:p>
            <w:r/>
            <w:r>
              <w:rPr>
                <w:b/>
                <w:sz w:val="17"/>
              </w:rPr>
              <w:t>Cobre 4,2 meses · Wireless 5,9 meses</w:t>
            </w:r>
          </w:p>
        </w:tc>
      </w:tr>
    </w:tbl>
    <w:p>
      <w:pPr>
        <w:spacing w:after="40"/>
      </w:pPr>
    </w:p>
    <w:p>
      <w:pPr>
        <w:spacing w:after="120"/>
      </w:pPr>
      <w:r>
        <w:rPr>
          <w:b/>
          <w:color w:val="B04A1A"/>
        </w:rPr>
        <w:t xml:space="preserve">Riesgo a vigilar: </w:t>
      </w:r>
      <w:r>
        <w:rPr>
          <w:b w:val="0"/>
        </w:rPr>
        <w:t>Con el filtro de 2025 sobre dim_fecha, el ahorro y las bajas usan la misma base. Sin él, el OPEX promedia 2023–2025 y el VAN cambia (Cobre ≈ 70,2 millones). Declare el año base en el título del visual. El VAN es un modelo didáctico: no incluye depreciación, impuestos ni costo de oportunidad de la cuadrilla.</w:t>
      </w:r>
    </w:p>
    <w:p>
      <w:r>
        <w:br w:type="page"/>
      </w:r>
    </w:p>
    <w:p>
      <w:pPr>
        <w:pStyle w:val="Heading1"/>
      </w:pPr>
      <w:r>
        <w:t>Subcaso 02B — Tecnología y Operaciones</w:t>
      </w:r>
    </w:p>
    <w:p>
      <w:r>
        <w:rPr>
          <w:b/>
        </w:rPr>
        <w:t xml:space="preserve">Caso 02 — RedNexo  ·  Mandato: </w:t>
      </w:r>
      <w:r>
        <w:t>Priorizar incidentes y cuadrillas cruzando alarmas de red, tecnología instalada, zona, historial de soporte, capacidad y experiencia operativa.</w:t>
      </w:r>
    </w:p>
    <w:p>
      <w:r>
        <w:rPr>
          <w:b/>
        </w:rPr>
        <w:t xml:space="preserve">Cruce: </w:t>
      </w:r>
      <w:r>
        <w:t>Abonados → soporte; nodos → rendimiento de red y NMS; cuadrillas → turnos y tickets; zona → capacidad.</w:t>
      </w:r>
    </w:p>
    <w:p>
      <w:pPr>
        <w:pStyle w:val="Heading2"/>
      </w:pPr>
      <w:r>
        <w:t>Tablas y su rol en el modelo de datos</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608"/>
        <w:gridCol w:w="1701"/>
        <w:gridCol w:w="2608"/>
        <w:gridCol w:w="2721"/>
      </w:tblGrid>
      <w:tr>
        <w:trPr>
          <w:cantSplit/>
          <w:tblHeader/>
        </w:trPr>
        <w:tc>
          <w:tcPr>
            <w:tcW w:type="dxa" w:w="2608"/>
            <w:shd w:val="clear" w:color="auto" w:fill="DCEEE2"/>
          </w:tcPr>
          <w:p>
            <w:r/>
            <w:r>
              <w:rPr>
                <w:b/>
                <w:color w:val="20603D"/>
                <w:sz w:val="17"/>
              </w:rPr>
              <w:t>Tabla</w:t>
            </w:r>
          </w:p>
        </w:tc>
        <w:tc>
          <w:tcPr>
            <w:tcW w:type="dxa" w:w="1701"/>
            <w:shd w:val="clear" w:color="auto" w:fill="DCEEE2"/>
          </w:tcPr>
          <w:p>
            <w:r/>
            <w:r>
              <w:rPr>
                <w:b/>
                <w:color w:val="20603D"/>
                <w:sz w:val="17"/>
              </w:rPr>
              <w:t>Grano (filas)</w:t>
            </w:r>
          </w:p>
        </w:tc>
        <w:tc>
          <w:tcPr>
            <w:tcW w:type="dxa" w:w="2608"/>
            <w:shd w:val="clear" w:color="auto" w:fill="DCEEE2"/>
          </w:tcPr>
          <w:p>
            <w:r/>
            <w:r>
              <w:rPr>
                <w:b/>
                <w:color w:val="20603D"/>
                <w:sz w:val="17"/>
              </w:rPr>
              <w:t>Rol</w:t>
            </w:r>
          </w:p>
        </w:tc>
        <w:tc>
          <w:tcPr>
            <w:tcW w:type="dxa" w:w="2721"/>
            <w:shd w:val="clear" w:color="auto" w:fill="DCEEE2"/>
          </w:tcPr>
          <w:p>
            <w:r/>
            <w:r>
              <w:rPr>
                <w:b/>
                <w:color w:val="20603D"/>
                <w:sz w:val="17"/>
              </w:rPr>
              <w:t>Claves</w:t>
            </w:r>
          </w:p>
        </w:tc>
      </w:tr>
      <w:tr>
        <w:trPr>
          <w:cantSplit/>
        </w:trPr>
        <w:tc>
          <w:tcPr>
            <w:tcW w:type="dxa" w:w="2608"/>
          </w:tcPr>
          <w:p>
            <w:r/>
            <w:r>
              <w:rPr>
                <w:sz w:val="17"/>
              </w:rPr>
              <w:t>rednexo_network_performance_silver</w:t>
            </w:r>
          </w:p>
        </w:tc>
        <w:tc>
          <w:tcPr>
            <w:tcW w:type="dxa" w:w="1701"/>
          </w:tcPr>
          <w:p>
            <w:r/>
            <w:r>
              <w:rPr>
                <w:sz w:val="17"/>
              </w:rPr>
              <w:t>1 lectura semanal por nodo (19.782)</w:t>
            </w:r>
          </w:p>
        </w:tc>
        <w:tc>
          <w:tcPr>
            <w:tcW w:type="dxa" w:w="2608"/>
          </w:tcPr>
          <w:p>
            <w:r/>
            <w:r>
              <w:rPr>
                <w:sz w:val="17"/>
              </w:rPr>
              <w:t>Hecho / serie de tiempo</w:t>
            </w:r>
          </w:p>
        </w:tc>
        <w:tc>
          <w:tcPr>
            <w:tcW w:type="dxa" w:w="2721"/>
          </w:tcPr>
          <w:p>
            <w:r/>
            <w:r>
              <w:rPr>
                <w:sz w:val="17"/>
              </w:rPr>
              <w:t>nodo_id</w:t>
            </w:r>
          </w:p>
        </w:tc>
      </w:tr>
      <w:tr>
        <w:trPr>
          <w:cantSplit/>
        </w:trPr>
        <w:tc>
          <w:tcPr>
            <w:tcW w:type="dxa" w:w="2608"/>
          </w:tcPr>
          <w:p>
            <w:r/>
            <w:r>
              <w:rPr>
                <w:sz w:val="17"/>
              </w:rPr>
              <w:t>rednexo_nms_eventos_silver</w:t>
            </w:r>
          </w:p>
        </w:tc>
        <w:tc>
          <w:tcPr>
            <w:tcW w:type="dxa" w:w="1701"/>
          </w:tcPr>
          <w:p>
            <w:r/>
            <w:r>
              <w:rPr>
                <w:sz w:val="17"/>
              </w:rPr>
              <w:t>1 evento (2.295)</w:t>
            </w:r>
          </w:p>
        </w:tc>
        <w:tc>
          <w:tcPr>
            <w:tcW w:type="dxa" w:w="2608"/>
          </w:tcPr>
          <w:p>
            <w:r/>
            <w:r>
              <w:rPr>
                <w:sz w:val="17"/>
              </w:rPr>
              <w:t>Hecho</w:t>
            </w:r>
          </w:p>
        </w:tc>
        <w:tc>
          <w:tcPr>
            <w:tcW w:type="dxa" w:w="2721"/>
          </w:tcPr>
          <w:p>
            <w:r/>
            <w:r>
              <w:rPr>
                <w:sz w:val="17"/>
              </w:rPr>
              <w:t>nodo_id</w:t>
            </w:r>
          </w:p>
        </w:tc>
      </w:tr>
      <w:tr>
        <w:trPr>
          <w:cantSplit/>
        </w:trPr>
        <w:tc>
          <w:tcPr>
            <w:tcW w:type="dxa" w:w="2608"/>
          </w:tcPr>
          <w:p>
            <w:r/>
            <w:r>
              <w:rPr>
                <w:sz w:val="17"/>
              </w:rPr>
              <w:t>rednexo_nodos_silver</w:t>
            </w:r>
          </w:p>
        </w:tc>
        <w:tc>
          <w:tcPr>
            <w:tcW w:type="dxa" w:w="1701"/>
          </w:tcPr>
          <w:p>
            <w:r/>
            <w:r>
              <w:rPr>
                <w:sz w:val="17"/>
              </w:rPr>
              <w:t>1 nodo (126)</w:t>
            </w:r>
          </w:p>
        </w:tc>
        <w:tc>
          <w:tcPr>
            <w:tcW w:type="dxa" w:w="2608"/>
          </w:tcPr>
          <w:p>
            <w:r/>
            <w:r>
              <w:rPr>
                <w:sz w:val="17"/>
              </w:rPr>
              <w:t>Dimensión</w:t>
            </w:r>
          </w:p>
        </w:tc>
        <w:tc>
          <w:tcPr>
            <w:tcW w:type="dxa" w:w="2721"/>
          </w:tcPr>
          <w:p>
            <w:r/>
            <w:r>
              <w:rPr>
                <w:sz w:val="17"/>
              </w:rPr>
              <w:t>nodo_id (PK), clave_zt</w:t>
            </w:r>
          </w:p>
        </w:tc>
      </w:tr>
      <w:tr>
        <w:trPr>
          <w:cantSplit/>
        </w:trPr>
        <w:tc>
          <w:tcPr>
            <w:tcW w:type="dxa" w:w="2608"/>
          </w:tcPr>
          <w:p>
            <w:r/>
            <w:r>
              <w:rPr>
                <w:sz w:val="17"/>
              </w:rPr>
              <w:t>dim_abonado (Power Query)</w:t>
            </w:r>
          </w:p>
        </w:tc>
        <w:tc>
          <w:tcPr>
            <w:tcW w:type="dxa" w:w="1701"/>
          </w:tcPr>
          <w:p>
            <w:r/>
            <w:r>
              <w:rPr>
                <w:sz w:val="17"/>
              </w:rPr>
              <w:t>1 abonado (8.000)</w:t>
            </w:r>
          </w:p>
        </w:tc>
        <w:tc>
          <w:tcPr>
            <w:tcW w:type="dxa" w:w="2608"/>
          </w:tcPr>
          <w:p>
            <w:r/>
            <w:r>
              <w:rPr>
                <w:sz w:val="17"/>
              </w:rPr>
              <w:t>Dimensión</w:t>
            </w:r>
          </w:p>
        </w:tc>
        <w:tc>
          <w:tcPr>
            <w:tcW w:type="dxa" w:w="2721"/>
          </w:tcPr>
          <w:p>
            <w:r/>
            <w:r>
              <w:rPr>
                <w:sz w:val="17"/>
              </w:rPr>
              <w:t>abonado_id (PK), clave_zt</w:t>
            </w:r>
          </w:p>
        </w:tc>
      </w:tr>
      <w:tr>
        <w:trPr>
          <w:cantSplit/>
        </w:trPr>
        <w:tc>
          <w:tcPr>
            <w:tcW w:type="dxa" w:w="2608"/>
          </w:tcPr>
          <w:p>
            <w:r/>
            <w:r>
              <w:rPr>
                <w:sz w:val="17"/>
              </w:rPr>
              <w:t>rednexo_support_log_silver</w:t>
            </w:r>
          </w:p>
        </w:tc>
        <w:tc>
          <w:tcPr>
            <w:tcW w:type="dxa" w:w="1701"/>
          </w:tcPr>
          <w:p>
            <w:r/>
            <w:r>
              <w:rPr>
                <w:sz w:val="17"/>
              </w:rPr>
              <w:t>1 ticket (12.000)</w:t>
            </w:r>
          </w:p>
        </w:tc>
        <w:tc>
          <w:tcPr>
            <w:tcW w:type="dxa" w:w="2608"/>
          </w:tcPr>
          <w:p>
            <w:r/>
            <w:r>
              <w:rPr>
                <w:sz w:val="17"/>
              </w:rPr>
              <w:t>Hecho</w:t>
            </w:r>
          </w:p>
        </w:tc>
        <w:tc>
          <w:tcPr>
            <w:tcW w:type="dxa" w:w="2721"/>
          </w:tcPr>
          <w:p>
            <w:r/>
            <w:r>
              <w:rPr>
                <w:sz w:val="17"/>
              </w:rPr>
              <w:t>abonado_id, cuadrilla_id</w:t>
            </w:r>
          </w:p>
        </w:tc>
      </w:tr>
      <w:tr>
        <w:trPr>
          <w:cantSplit/>
        </w:trPr>
        <w:tc>
          <w:tcPr>
            <w:tcW w:type="dxa" w:w="2608"/>
          </w:tcPr>
          <w:p>
            <w:r/>
            <w:r>
              <w:rPr>
                <w:sz w:val="17"/>
              </w:rPr>
              <w:t>rednexo_cuadrillas_silver</w:t>
            </w:r>
          </w:p>
        </w:tc>
        <w:tc>
          <w:tcPr>
            <w:tcW w:type="dxa" w:w="1701"/>
          </w:tcPr>
          <w:p>
            <w:r/>
            <w:r>
              <w:rPr>
                <w:sz w:val="17"/>
              </w:rPr>
              <w:t>1 cuadrilla (42)</w:t>
            </w:r>
          </w:p>
        </w:tc>
        <w:tc>
          <w:tcPr>
            <w:tcW w:type="dxa" w:w="2608"/>
          </w:tcPr>
          <w:p>
            <w:r/>
            <w:r>
              <w:rPr>
                <w:sz w:val="17"/>
              </w:rPr>
              <w:t>Dimensión</w:t>
            </w:r>
          </w:p>
        </w:tc>
        <w:tc>
          <w:tcPr>
            <w:tcW w:type="dxa" w:w="2721"/>
          </w:tcPr>
          <w:p>
            <w:r/>
            <w:r>
              <w:rPr>
                <w:sz w:val="17"/>
              </w:rPr>
              <w:t>cuadrilla_id (PK), zona</w:t>
            </w:r>
          </w:p>
        </w:tc>
      </w:tr>
      <w:tr>
        <w:trPr>
          <w:cantSplit/>
        </w:trPr>
        <w:tc>
          <w:tcPr>
            <w:tcW w:type="dxa" w:w="2608"/>
          </w:tcPr>
          <w:p>
            <w:r/>
            <w:r>
              <w:rPr>
                <w:sz w:val="17"/>
              </w:rPr>
              <w:t>rednexo_hr_schedules_silver</w:t>
            </w:r>
          </w:p>
        </w:tc>
        <w:tc>
          <w:tcPr>
            <w:tcW w:type="dxa" w:w="1701"/>
          </w:tcPr>
          <w:p>
            <w:r/>
            <w:r>
              <w:rPr>
                <w:sz w:val="17"/>
              </w:rPr>
              <w:t>1 técnico por mes (7.740; 215 técnicos)</w:t>
            </w:r>
          </w:p>
        </w:tc>
        <w:tc>
          <w:tcPr>
            <w:tcW w:type="dxa" w:w="2608"/>
          </w:tcPr>
          <w:p>
            <w:r/>
            <w:r>
              <w:rPr>
                <w:sz w:val="17"/>
              </w:rPr>
              <w:t>Hecho</w:t>
            </w:r>
          </w:p>
        </w:tc>
        <w:tc>
          <w:tcPr>
            <w:tcW w:type="dxa" w:w="2721"/>
          </w:tcPr>
          <w:p>
            <w:r/>
            <w:r>
              <w:rPr>
                <w:sz w:val="17"/>
              </w:rPr>
              <w:t>cuadrilla_id, tecnico_id</w:t>
            </w:r>
          </w:p>
        </w:tc>
      </w:tr>
      <w:tr>
        <w:trPr>
          <w:cantSplit/>
        </w:trPr>
        <w:tc>
          <w:tcPr>
            <w:tcW w:type="dxa" w:w="2608"/>
          </w:tcPr>
          <w:p>
            <w:r/>
            <w:r>
              <w:rPr>
                <w:sz w:val="17"/>
              </w:rPr>
              <w:t>dim_zona / dim_zona_tec</w:t>
            </w:r>
          </w:p>
        </w:tc>
        <w:tc>
          <w:tcPr>
            <w:tcW w:type="dxa" w:w="1701"/>
          </w:tcPr>
          <w:p>
            <w:r/>
            <w:r>
              <w:rPr>
                <w:sz w:val="17"/>
              </w:rPr>
              <w:t>7 / 21</w:t>
            </w:r>
          </w:p>
        </w:tc>
        <w:tc>
          <w:tcPr>
            <w:tcW w:type="dxa" w:w="2608"/>
          </w:tcPr>
          <w:p>
            <w:r/>
            <w:r>
              <w:rPr>
                <w:sz w:val="17"/>
              </w:rPr>
              <w:t>Dimensiones conformadas</w:t>
            </w:r>
          </w:p>
        </w:tc>
        <w:tc>
          <w:tcPr>
            <w:tcW w:type="dxa" w:w="2721"/>
          </w:tcPr>
          <w:p>
            <w:r/>
            <w:r>
              <w:rPr>
                <w:sz w:val="17"/>
              </w:rPr>
              <w:t>zona / clave_zt</w:t>
            </w:r>
          </w:p>
        </w:tc>
      </w:tr>
    </w:tbl>
    <w:p>
      <w:pPr>
        <w:spacing w:after="40"/>
      </w:pPr>
    </w:p>
    <w:p>
      <w:pPr>
        <w:pStyle w:val="Heading2"/>
      </w:pPr>
      <w:r>
        <w:t>Relaciones a crear en el modelo</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494"/>
        <w:gridCol w:w="793"/>
        <w:gridCol w:w="2494"/>
        <w:gridCol w:w="3855"/>
      </w:tblGrid>
      <w:tr>
        <w:trPr>
          <w:cantSplit/>
          <w:tblHeader/>
        </w:trPr>
        <w:tc>
          <w:tcPr>
            <w:tcW w:type="dxa" w:w="2494"/>
            <w:shd w:val="clear" w:color="auto" w:fill="DCEEE2"/>
          </w:tcPr>
          <w:p>
            <w:r/>
            <w:r>
              <w:rPr>
                <w:b/>
                <w:color w:val="20603D"/>
                <w:sz w:val="17"/>
              </w:rPr>
              <w:t>Lado 1</w:t>
            </w:r>
          </w:p>
        </w:tc>
        <w:tc>
          <w:tcPr>
            <w:tcW w:type="dxa" w:w="794"/>
            <w:shd w:val="clear" w:color="auto" w:fill="DCEEE2"/>
          </w:tcPr>
          <w:p>
            <w:r/>
            <w:r>
              <w:rPr>
                <w:b/>
                <w:color w:val="20603D"/>
                <w:sz w:val="17"/>
              </w:rPr>
              <w:t>Card.</w:t>
            </w:r>
          </w:p>
        </w:tc>
        <w:tc>
          <w:tcPr>
            <w:tcW w:type="dxa" w:w="2494"/>
            <w:shd w:val="clear" w:color="auto" w:fill="DCEEE2"/>
          </w:tcPr>
          <w:p>
            <w:r/>
            <w:r>
              <w:rPr>
                <w:b/>
                <w:color w:val="20603D"/>
                <w:sz w:val="17"/>
              </w:rPr>
              <w:t>Lado N</w:t>
            </w:r>
          </w:p>
        </w:tc>
        <w:tc>
          <w:tcPr>
            <w:tcW w:type="dxa" w:w="3855"/>
            <w:shd w:val="clear" w:color="auto" w:fill="DCEEE2"/>
          </w:tcPr>
          <w:p>
            <w:r/>
            <w:r>
              <w:rPr>
                <w:b/>
                <w:color w:val="20603D"/>
                <w:sz w:val="17"/>
              </w:rPr>
              <w:t>Dirección / nota</w:t>
            </w:r>
          </w:p>
        </w:tc>
      </w:tr>
      <w:tr>
        <w:trPr>
          <w:cantSplit/>
        </w:trPr>
        <w:tc>
          <w:tcPr>
            <w:tcW w:type="dxa" w:w="2494"/>
          </w:tcPr>
          <w:p>
            <w:r/>
            <w:r>
              <w:rPr>
                <w:sz w:val="17"/>
              </w:rPr>
              <w:t>dim_zona → dim_zona_tec</w:t>
            </w:r>
          </w:p>
        </w:tc>
        <w:tc>
          <w:tcPr>
            <w:tcW w:type="dxa" w:w="794"/>
          </w:tcPr>
          <w:p>
            <w:r/>
            <w:r>
              <w:rPr>
                <w:sz w:val="17"/>
              </w:rPr>
              <w:t>1 : N</w:t>
            </w:r>
          </w:p>
        </w:tc>
        <w:tc>
          <w:tcPr>
            <w:tcW w:type="dxa" w:w="2494"/>
          </w:tcPr>
          <w:p>
            <w:r/>
            <w:r>
              <w:rPr>
                <w:sz w:val="17"/>
              </w:rPr>
              <w:t>nodos / dim_abonado</w:t>
            </w:r>
          </w:p>
        </w:tc>
        <w:tc>
          <w:tcPr>
            <w:tcW w:type="dxa" w:w="3855"/>
          </w:tcPr>
          <w:p>
            <w:r/>
            <w:r>
              <w:rPr>
                <w:sz w:val="17"/>
              </w:rPr>
              <w:t>Única</w:t>
            </w:r>
          </w:p>
        </w:tc>
      </w:tr>
      <w:tr>
        <w:trPr>
          <w:cantSplit/>
        </w:trPr>
        <w:tc>
          <w:tcPr>
            <w:tcW w:type="dxa" w:w="2494"/>
          </w:tcPr>
          <w:p>
            <w:r/>
            <w:r>
              <w:rPr>
                <w:sz w:val="17"/>
              </w:rPr>
              <w:t>rednexo_nodos_silver</w:t>
            </w:r>
          </w:p>
        </w:tc>
        <w:tc>
          <w:tcPr>
            <w:tcW w:type="dxa" w:w="794"/>
          </w:tcPr>
          <w:p>
            <w:r/>
            <w:r>
              <w:rPr>
                <w:sz w:val="17"/>
              </w:rPr>
              <w:t>1 : N</w:t>
            </w:r>
          </w:p>
        </w:tc>
        <w:tc>
          <w:tcPr>
            <w:tcW w:type="dxa" w:w="2494"/>
          </w:tcPr>
          <w:p>
            <w:r/>
            <w:r>
              <w:rPr>
                <w:sz w:val="17"/>
              </w:rPr>
              <w:t>network_performance / nms_eventos</w:t>
            </w:r>
          </w:p>
        </w:tc>
        <w:tc>
          <w:tcPr>
            <w:tcW w:type="dxa" w:w="3855"/>
          </w:tcPr>
          <w:p>
            <w:r/>
            <w:r>
              <w:rPr>
                <w:sz w:val="17"/>
              </w:rPr>
              <w:t>Única, nodo → hecho</w:t>
            </w:r>
          </w:p>
        </w:tc>
      </w:tr>
      <w:tr>
        <w:trPr>
          <w:cantSplit/>
        </w:trPr>
        <w:tc>
          <w:tcPr>
            <w:tcW w:type="dxa" w:w="2494"/>
          </w:tcPr>
          <w:p>
            <w:r/>
            <w:r>
              <w:rPr>
                <w:sz w:val="17"/>
              </w:rPr>
              <w:t>dim_abonado</w:t>
            </w:r>
          </w:p>
        </w:tc>
        <w:tc>
          <w:tcPr>
            <w:tcW w:type="dxa" w:w="794"/>
          </w:tcPr>
          <w:p>
            <w:r/>
            <w:r>
              <w:rPr>
                <w:sz w:val="17"/>
              </w:rPr>
              <w:t>1 : N</w:t>
            </w:r>
          </w:p>
        </w:tc>
        <w:tc>
          <w:tcPr>
            <w:tcW w:type="dxa" w:w="2494"/>
          </w:tcPr>
          <w:p>
            <w:r/>
            <w:r>
              <w:rPr>
                <w:sz w:val="17"/>
              </w:rPr>
              <w:t>rednexo_support_log_silver</w:t>
            </w:r>
          </w:p>
        </w:tc>
        <w:tc>
          <w:tcPr>
            <w:tcW w:type="dxa" w:w="3855"/>
          </w:tcPr>
          <w:p>
            <w:r/>
            <w:r>
              <w:rPr>
                <w:sz w:val="17"/>
              </w:rPr>
              <w:t>Única</w:t>
            </w:r>
          </w:p>
        </w:tc>
      </w:tr>
      <w:tr>
        <w:trPr>
          <w:cantSplit/>
        </w:trPr>
        <w:tc>
          <w:tcPr>
            <w:tcW w:type="dxa" w:w="2494"/>
          </w:tcPr>
          <w:p>
            <w:r/>
            <w:r>
              <w:rPr>
                <w:sz w:val="17"/>
              </w:rPr>
              <w:t>rednexo_cuadrillas_silver</w:t>
            </w:r>
          </w:p>
        </w:tc>
        <w:tc>
          <w:tcPr>
            <w:tcW w:type="dxa" w:w="794"/>
          </w:tcPr>
          <w:p>
            <w:r/>
            <w:r>
              <w:rPr>
                <w:sz w:val="17"/>
              </w:rPr>
              <w:t>1 : N</w:t>
            </w:r>
          </w:p>
        </w:tc>
        <w:tc>
          <w:tcPr>
            <w:tcW w:type="dxa" w:w="2494"/>
          </w:tcPr>
          <w:p>
            <w:r/>
            <w:r>
              <w:rPr>
                <w:sz w:val="17"/>
              </w:rPr>
              <w:t>hr_schedules / support_log</w:t>
            </w:r>
          </w:p>
        </w:tc>
        <w:tc>
          <w:tcPr>
            <w:tcW w:type="dxa" w:w="3855"/>
          </w:tcPr>
          <w:p>
            <w:r/>
            <w:r>
              <w:rPr>
                <w:sz w:val="17"/>
              </w:rPr>
              <w:t>Única</w:t>
            </w:r>
          </w:p>
        </w:tc>
      </w:tr>
      <w:tr>
        <w:trPr>
          <w:cantSplit/>
        </w:trPr>
        <w:tc>
          <w:tcPr>
            <w:tcW w:type="dxa" w:w="2494"/>
          </w:tcPr>
          <w:p>
            <w:r/>
            <w:r>
              <w:rPr>
                <w:sz w:val="17"/>
              </w:rPr>
              <w:t>dim_zona</w:t>
            </w:r>
          </w:p>
        </w:tc>
        <w:tc>
          <w:tcPr>
            <w:tcW w:type="dxa" w:w="794"/>
          </w:tcPr>
          <w:p>
            <w:r/>
            <w:r>
              <w:rPr>
                <w:sz w:val="17"/>
              </w:rPr>
              <w:t>sin relación con cuadrillas</w:t>
            </w:r>
          </w:p>
        </w:tc>
        <w:tc>
          <w:tcPr>
            <w:tcW w:type="dxa" w:w="2494"/>
          </w:tcPr>
          <w:p>
            <w:r/>
            <w:r>
              <w:rPr>
                <w:sz w:val="17"/>
              </w:rPr>
              <w:t>—</w:t>
            </w:r>
          </w:p>
        </w:tc>
        <w:tc>
          <w:tcPr>
            <w:tcW w:type="dxa" w:w="3855"/>
          </w:tcPr>
          <w:p>
            <w:r/>
            <w:r>
              <w:rPr>
                <w:sz w:val="17"/>
              </w:rPr>
              <w:t>La zona de la cuadrilla se lee de su propia tabla</w:t>
            </w:r>
          </w:p>
        </w:tc>
      </w:tr>
    </w:tbl>
    <w:p>
      <w:pPr>
        <w:spacing w:after="40"/>
      </w:pPr>
    </w:p>
    <w:p>
      <w:pPr>
        <w:pStyle w:val="Heading2"/>
      </w:pPr>
      <w:r>
        <w:t>Evidencias que el equipo debe producir</w:t>
      </w:r>
    </w:p>
    <w:p>
      <w:pPr>
        <w:pStyle w:val="Heading3"/>
      </w:pPr>
      <w:r>
        <w:t>Evidencia 1. Mapa de prioridad por zona que combine degradación, MTTR, tecnología y volumen afectado.</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rednexo_network_performance_silver</w:t>
            </w:r>
          </w:p>
        </w:tc>
        <w:tc>
          <w:tcPr>
            <w:tcW w:type="dxa" w:w="6520"/>
          </w:tcPr>
          <w:p>
            <w:r/>
            <w:r>
              <w:rPr>
                <w:sz w:val="17"/>
              </w:rPr>
              <w:t>nodo_id, atenuacion_db, perdida_paquetes_pct</w:t>
            </w:r>
          </w:p>
        </w:tc>
      </w:tr>
      <w:tr>
        <w:trPr>
          <w:cantSplit/>
        </w:trPr>
        <w:tc>
          <w:tcPr>
            <w:tcW w:type="dxa" w:w="3118"/>
          </w:tcPr>
          <w:p>
            <w:r/>
            <w:r>
              <w:rPr>
                <w:sz w:val="17"/>
              </w:rPr>
              <w:t>rednexo_nodos_silver</w:t>
            </w:r>
          </w:p>
        </w:tc>
        <w:tc>
          <w:tcPr>
            <w:tcW w:type="dxa" w:w="6520"/>
          </w:tcPr>
          <w:p>
            <w:r/>
            <w:r>
              <w:rPr>
                <w:sz w:val="17"/>
              </w:rPr>
              <w:t>nodo_id, zona, tecnologia_principal</w:t>
            </w:r>
          </w:p>
        </w:tc>
      </w:tr>
      <w:tr>
        <w:trPr>
          <w:cantSplit/>
        </w:trPr>
        <w:tc>
          <w:tcPr>
            <w:tcW w:type="dxa" w:w="3118"/>
          </w:tcPr>
          <w:p>
            <w:r/>
            <w:r>
              <w:rPr>
                <w:sz w:val="17"/>
              </w:rPr>
              <w:t>rednexo_support_log_silver</w:t>
            </w:r>
          </w:p>
        </w:tc>
        <w:tc>
          <w:tcPr>
            <w:tcW w:type="dxa" w:w="6520"/>
          </w:tcPr>
          <w:p>
            <w:r/>
            <w:r>
              <w:rPr>
                <w:sz w:val="17"/>
              </w:rPr>
              <w:t>abonado_id, mttr_horas</w:t>
            </w:r>
          </w:p>
        </w:tc>
      </w:tr>
      <w:tr>
        <w:trPr>
          <w:cantSplit/>
        </w:trPr>
        <w:tc>
          <w:tcPr>
            <w:tcW w:type="dxa" w:w="3118"/>
          </w:tcPr>
          <w:p>
            <w:r/>
            <w:r>
              <w:rPr>
                <w:sz w:val="17"/>
              </w:rPr>
              <w:t>dim_abonado</w:t>
            </w:r>
          </w:p>
        </w:tc>
        <w:tc>
          <w:tcPr>
            <w:tcW w:type="dxa" w:w="6520"/>
          </w:tcPr>
          <w:p>
            <w:r/>
            <w:r>
              <w:rPr>
                <w:sz w:val="17"/>
              </w:rPr>
              <w:t>zona, tecnologia</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La degradación llega a la zona por dim_zona → dim_zona_tec → nodos → rendimiento; el MTTR por dim_zona → dim_zona_tec → dim_abonado → tickets.</w:t>
      </w:r>
    </w:p>
    <w:p>
      <w:pPr>
        <w:pStyle w:val="ListParagraph"/>
        <w:spacing w:after="40"/>
      </w:pPr>
      <w:r>
        <w:rPr>
          <w:b/>
        </w:rPr>
        <w:t xml:space="preserve">2. </w:t>
      </w:r>
      <w:r>
        <w:rPr>
          <w:b w:val="0"/>
        </w:rPr>
        <w:t>No relacione dim_zona con cuadrillas: crearía un segundo camino hacia los tickets y Power BI desactivaría uno.</w:t>
      </w:r>
    </w:p>
    <w:p>
      <w:pPr>
        <w:pStyle w:val="ListParagraph"/>
        <w:spacing w:after="40"/>
      </w:pPr>
      <w:r>
        <w:rPr>
          <w:b/>
        </w:rPr>
        <w:t xml:space="preserve">3. </w:t>
      </w:r>
      <w:r>
        <w:rPr>
          <w:b w:val="0"/>
        </w:rPr>
        <w:t>Normalice cada indicador antes de sumarlos en un índice de prioridad: las diferencias entre zonas son pequeñas.</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Atenuación Promedio (dB) = AVERAGE ( rednexo_network_performance_silver[atenuacion_db] )</w:t>
      </w:r>
    </w:p>
    <w:p>
      <w:pPr>
        <w:spacing w:after="0"/>
        <w:ind w:left="170"/>
        <w:shd w:val="clear" w:color="auto" w:fill="F2F5F3"/>
      </w:pPr>
      <w:r>
        <w:rPr>
          <w:rFonts w:ascii="Consolas" w:hAnsi="Consolas" w:eastAsia="Consolas"/>
          <w:sz w:val="16"/>
        </w:rPr>
        <w:t>Pérdida Paquetes Promedio (%) = AVERAGE ( rednexo_network_performance_silver[perdida_paquetes_pct] )</w:t>
      </w:r>
    </w:p>
    <w:p>
      <w:pPr>
        <w:spacing w:after="0"/>
        <w:ind w:left="170"/>
        <w:shd w:val="clear" w:color="auto" w:fill="F2F5F3"/>
      </w:pPr>
      <w:r>
        <w:rPr>
          <w:rFonts w:ascii="Consolas" w:hAnsi="Consolas" w:eastAsia="Consolas"/>
          <w:sz w:val="16"/>
        </w:rPr>
        <w:t>N Eventos NMS = COUNTROWS ( rednexo_nms_eventos_silver )</w:t>
      </w:r>
    </w:p>
    <w:p>
      <w:pPr>
        <w:spacing w:after="0"/>
        <w:ind w:left="170"/>
        <w:shd w:val="clear" w:color="auto" w:fill="F2F5F3"/>
      </w:pPr>
      <w:r>
        <w:rPr>
          <w:rFonts w:ascii="Consolas" w:hAnsi="Consolas" w:eastAsia="Consolas"/>
          <w:sz w:val="16"/>
        </w:rPr>
        <w:t>N Abonados = DISTINCTCOUNT ( dim_abonado[abonado_id] )</w:t>
      </w:r>
    </w:p>
    <w:p>
      <w:pPr>
        <w:spacing w:after="0"/>
        <w:ind w:left="170"/>
        <w:shd w:val="clear" w:color="auto" w:fill="F2F5F3"/>
      </w:pPr>
      <w:r>
        <w:rPr>
          <w:rFonts w:ascii="Consolas" w:hAnsi="Consolas" w:eastAsia="Consolas"/>
          <w:sz w:val="16"/>
        </w:rPr>
        <w:t>-- N Tickets y MTTR Promedio (h) como en 02A</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Nodos · zonas · combinaciones zona × tecnología</w:t>
            </w:r>
          </w:p>
        </w:tc>
        <w:tc>
          <w:tcPr>
            <w:tcW w:type="dxa" w:w="4535"/>
          </w:tcPr>
          <w:p>
            <w:r/>
            <w:r>
              <w:rPr>
                <w:b/>
                <w:sz w:val="17"/>
              </w:rPr>
              <w:t>126 · 7 · 21</w:t>
            </w:r>
          </w:p>
        </w:tc>
      </w:tr>
      <w:tr>
        <w:trPr>
          <w:cantSplit/>
        </w:trPr>
        <w:tc>
          <w:tcPr>
            <w:tcW w:type="dxa" w:w="5102"/>
          </w:tcPr>
          <w:p>
            <w:r/>
            <w:r>
              <w:rPr>
                <w:sz w:val="17"/>
              </w:rPr>
              <w:t>Atenuación por zona</w:t>
            </w:r>
          </w:p>
        </w:tc>
        <w:tc>
          <w:tcPr>
            <w:tcW w:type="dxa" w:w="4535"/>
          </w:tcPr>
          <w:p>
            <w:r/>
            <w:r>
              <w:rPr>
                <w:b/>
                <w:sz w:val="17"/>
              </w:rPr>
              <w:t>de 18,66 dB (Sur) a 18,97 dB (Norte)</w:t>
            </w:r>
          </w:p>
        </w:tc>
      </w:tr>
      <w:tr>
        <w:trPr>
          <w:cantSplit/>
        </w:trPr>
        <w:tc>
          <w:tcPr>
            <w:tcW w:type="dxa" w:w="5102"/>
          </w:tcPr>
          <w:p>
            <w:r/>
            <w:r>
              <w:rPr>
                <w:sz w:val="17"/>
              </w:rPr>
              <w:t>Tickets por zona</w:t>
            </w:r>
          </w:p>
        </w:tc>
        <w:tc>
          <w:tcPr>
            <w:tcW w:type="dxa" w:w="4535"/>
          </w:tcPr>
          <w:p>
            <w:r/>
            <w:r>
              <w:rPr>
                <w:b/>
                <w:sz w:val="17"/>
              </w:rPr>
              <w:t>de 1.618 (Rural Oeste) a 1.795 (Sacaba)</w:t>
            </w:r>
          </w:p>
        </w:tc>
      </w:tr>
      <w:tr>
        <w:trPr>
          <w:cantSplit/>
        </w:trPr>
        <w:tc>
          <w:tcPr>
            <w:tcW w:type="dxa" w:w="5102"/>
          </w:tcPr>
          <w:p>
            <w:r/>
            <w:r>
              <w:rPr>
                <w:sz w:val="17"/>
              </w:rPr>
              <w:t>MTTR por zona</w:t>
            </w:r>
          </w:p>
        </w:tc>
        <w:tc>
          <w:tcPr>
            <w:tcW w:type="dxa" w:w="4535"/>
          </w:tcPr>
          <w:p>
            <w:r/>
            <w:r>
              <w:rPr>
                <w:b/>
                <w:sz w:val="17"/>
              </w:rPr>
              <w:t>de 5,46 h (Valle Alto) a 5,73 h (Sacaba)</w:t>
            </w:r>
          </w:p>
        </w:tc>
      </w:tr>
      <w:tr>
        <w:trPr>
          <w:cantSplit/>
        </w:trPr>
        <w:tc>
          <w:tcPr>
            <w:tcW w:type="dxa" w:w="5102"/>
          </w:tcPr>
          <w:p>
            <w:r/>
            <w:r>
              <w:rPr>
                <w:sz w:val="17"/>
              </w:rPr>
              <w:t>Eventos NMS por zona</w:t>
            </w:r>
          </w:p>
        </w:tc>
        <w:tc>
          <w:tcPr>
            <w:tcW w:type="dxa" w:w="4535"/>
          </w:tcPr>
          <w:p>
            <w:r/>
            <w:r>
              <w:rPr>
                <w:b/>
                <w:sz w:val="17"/>
              </w:rPr>
              <w:t>de 293 (Norte) a 362 (Rural Oeste)</w:t>
            </w:r>
          </w:p>
        </w:tc>
      </w:tr>
    </w:tbl>
    <w:p>
      <w:pPr>
        <w:spacing w:after="40"/>
      </w:pPr>
    </w:p>
    <w:p>
      <w:pPr>
        <w:spacing w:after="120"/>
      </w:pPr>
      <w:r>
        <w:rPr>
          <w:b/>
          <w:color w:val="B04A1A"/>
        </w:rPr>
        <w:t xml:space="preserve">Riesgo a vigilar: </w:t>
      </w:r>
      <w:r>
        <w:rPr>
          <w:b w:val="0"/>
        </w:rPr>
        <w:t>Las zonas son muy parecidas en v10. Un mapa de calor con escala automática exagera diferencias de décimas: fije la escala o muestre el rango en el título, y use el índice normalizado para ordenar.</w:t>
      </w:r>
    </w:p>
    <w:p>
      <w:pPr>
        <w:pStyle w:val="Heading3"/>
      </w:pPr>
      <w:r>
        <w:t>Evidencia 2. Asignación de cuadrillas compatible con base operativa, experiencia y carga.</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rednexo_cuadrillas_silver</w:t>
            </w:r>
          </w:p>
        </w:tc>
        <w:tc>
          <w:tcPr>
            <w:tcW w:type="dxa" w:w="6520"/>
          </w:tcPr>
          <w:p>
            <w:r/>
            <w:r>
              <w:rPr>
                <w:sz w:val="17"/>
              </w:rPr>
              <w:t>cuadrilla_id, zona, base_operativa, num_tecnicos</w:t>
            </w:r>
          </w:p>
        </w:tc>
      </w:tr>
      <w:tr>
        <w:trPr>
          <w:cantSplit/>
        </w:trPr>
        <w:tc>
          <w:tcPr>
            <w:tcW w:type="dxa" w:w="3118"/>
          </w:tcPr>
          <w:p>
            <w:r/>
            <w:r>
              <w:rPr>
                <w:sz w:val="17"/>
              </w:rPr>
              <w:t>rednexo_hr_schedules_silver</w:t>
            </w:r>
          </w:p>
        </w:tc>
        <w:tc>
          <w:tcPr>
            <w:tcW w:type="dxa" w:w="6520"/>
          </w:tcPr>
          <w:p>
            <w:r/>
            <w:r>
              <w:rPr>
                <w:sz w:val="17"/>
              </w:rPr>
              <w:t>cuadrilla_id, tecnico_id, horas_conduccion_mes, experiencia_redes_opticas</w:t>
            </w:r>
          </w:p>
        </w:tc>
      </w:tr>
      <w:tr>
        <w:trPr>
          <w:cantSplit/>
        </w:trPr>
        <w:tc>
          <w:tcPr>
            <w:tcW w:type="dxa" w:w="3118"/>
          </w:tcPr>
          <w:p>
            <w:r/>
            <w:r>
              <w:rPr>
                <w:sz w:val="17"/>
              </w:rPr>
              <w:t>rednexo_support_log_silver</w:t>
            </w:r>
          </w:p>
        </w:tc>
        <w:tc>
          <w:tcPr>
            <w:tcW w:type="dxa" w:w="6520"/>
          </w:tcPr>
          <w:p>
            <w:r/>
            <w:r>
              <w:rPr>
                <w:sz w:val="17"/>
              </w:rPr>
              <w:t>cuadrilla_id, mttr_horas, mttr_alto_flag</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Cuadrillas (1) → turnos (N) y cuadrillas (1) → tickets (N), independientes; nunca relacionar turnos con tickets.</w:t>
      </w:r>
    </w:p>
    <w:p>
      <w:pPr>
        <w:pStyle w:val="ListParagraph"/>
        <w:spacing w:after="40"/>
      </w:pPr>
      <w:r>
        <w:rPr>
          <w:b/>
        </w:rPr>
        <w:t xml:space="preserve">2. </w:t>
      </w:r>
      <w:r>
        <w:rPr>
          <w:b w:val="0"/>
        </w:rPr>
        <w:t>En v10 la experiencia es un número de años, pero no es confiable: cambia de un mes a otro para el mismo técnico (TEC-R-0001: 8, 8, 14, 15, 12 y 5 años de enero a junio de 2023). Trátela como brecha de calidad de datos y no la use para asignar cuadrillas.</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Experiencia Promedio (años) = AVERAGE ( rednexo_hr_schedules_silver[experiencia_redes_opticas] )</w:t>
      </w:r>
    </w:p>
    <w:p>
      <w:pPr>
        <w:spacing w:after="0"/>
        <w:ind w:left="170"/>
        <w:shd w:val="clear" w:color="auto" w:fill="F2F5F3"/>
      </w:pPr>
      <w:r>
        <w:rPr>
          <w:rFonts w:ascii="Consolas" w:hAnsi="Consolas" w:eastAsia="Consolas"/>
          <w:sz w:val="16"/>
        </w:rPr>
        <w:t>Horas Conducción Total = SUM ( rednexo_hr_schedules_silver[horas_conduccion_mes] )</w:t>
      </w:r>
    </w:p>
    <w:p>
      <w:pPr>
        <w:spacing w:after="0"/>
        <w:ind w:left="170"/>
        <w:shd w:val="clear" w:color="auto" w:fill="F2F5F3"/>
      </w:pPr>
      <w:r>
        <w:rPr>
          <w:rFonts w:ascii="Consolas" w:hAnsi="Consolas" w:eastAsia="Consolas"/>
          <w:sz w:val="16"/>
        </w:rPr>
        <w:t>Técnicos = DISTINCTCOUNT ( rednexo_hr_schedules_silver[tecnico_id] )</w:t>
      </w:r>
    </w:p>
    <w:p>
      <w:pPr>
        <w:spacing w:after="0"/>
        <w:ind w:left="170"/>
        <w:shd w:val="clear" w:color="auto" w:fill="F2F5F3"/>
      </w:pPr>
      <w:r>
        <w:rPr>
          <w:rFonts w:ascii="Consolas" w:hAnsi="Consolas" w:eastAsia="Consolas"/>
          <w:sz w:val="16"/>
        </w:rPr>
        <w:t>Tickets por Técnico = DIVIDE ( [N Tickets], SUM ( rednexo_cuadrillas_silver[num_tecnicos] ) )</w:t>
      </w:r>
    </w:p>
    <w:p>
      <w:pPr>
        <w:spacing w:after="0"/>
        <w:ind w:left="170"/>
        <w:shd w:val="clear" w:color="auto" w:fill="F2F5F3"/>
      </w:pPr>
      <w:r>
        <w:rPr>
          <w:rFonts w:ascii="Consolas" w:hAnsi="Consolas" w:eastAsia="Consolas"/>
          <w:sz w:val="16"/>
        </w:rPr>
        <w:t>% MTTR Alto = AVERAGE ( rednexo_support_log_silver[mttr_alto_flag] )</w:t>
      </w:r>
    </w:p>
    <w:p>
      <w:pPr>
        <w:spacing w:after="0"/>
        <w:ind w:left="170"/>
        <w:shd w:val="clear" w:color="auto" w:fill="F2F5F3"/>
      </w:pPr>
      <w:r>
        <w:rPr>
          <w:rFonts w:ascii="Consolas" w:hAnsi="Consolas" w:eastAsia="Consolas"/>
          <w:sz w:val="16"/>
        </w:rPr>
        <w:t>Técnicos con Experiencia Inconsistente = COUNTROWS ( FILTER ( VALUES ( rednexo_hr_schedules_silver[tecnico_id] ), CALCULATE ( MAX ( rednexo_hr_schedules_silver[experiencia_redes_opticas] ) - MIN ( rednexo_hr_schedules_silver[experiencia_redes_opticas] ) ) &gt; 1 )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Cuadrillas · técnicos</w:t>
            </w:r>
          </w:p>
        </w:tc>
        <w:tc>
          <w:tcPr>
            <w:tcW w:type="dxa" w:w="4535"/>
          </w:tcPr>
          <w:p>
            <w:r/>
            <w:r>
              <w:rPr>
                <w:b/>
                <w:sz w:val="17"/>
              </w:rPr>
              <w:t>42 · 215</w:t>
            </w:r>
          </w:p>
        </w:tc>
      </w:tr>
      <w:tr>
        <w:trPr>
          <w:cantSplit/>
        </w:trPr>
        <w:tc>
          <w:tcPr>
            <w:tcW w:type="dxa" w:w="5102"/>
          </w:tcPr>
          <w:p>
            <w:r>
              <w:rPr>
                <w:sz w:val="17"/>
              </w:rPr>
              <w:t>Experiencia promedio</w:t>
            </w:r>
          </w:p>
        </w:tc>
        <w:tc>
          <w:tcPr>
            <w:tcW w:type="dxa" w:w="4535"/>
          </w:tcPr>
          <w:p>
            <w:r>
              <w:rPr>
                <w:b/>
                <w:sz w:val="17"/>
              </w:rPr>
              <w:t>7,46 años (promedio de técnico-meses; el dato no es acumulado)</w:t>
            </w:r>
          </w:p>
        </w:tc>
      </w:tr>
      <w:tr>
        <w:trPr>
          <w:cantSplit/>
        </w:trPr>
        <w:tc>
          <w:tcPr>
            <w:tcW w:type="dxa" w:w="5102"/>
          </w:tcPr>
          <w:p>
            <w:r>
              <w:rPr>
                <w:sz w:val="17"/>
              </w:rPr>
              <w:t>Técnicos con experiencia inconsistente</w:t>
            </w:r>
          </w:p>
        </w:tc>
        <w:tc>
          <w:tcPr>
            <w:tcW w:type="dxa" w:w="4535"/>
          </w:tcPr>
          <w:p>
            <w:r>
              <w:rPr>
                <w:b/>
                <w:sz w:val="17"/>
              </w:rPr>
              <w:t>215 de 215 (cada técnico varía entre 13 y 15 años de un mes a otro)</w:t>
            </w:r>
          </w:p>
        </w:tc>
      </w:tr>
      <w:tr>
        <w:trPr>
          <w:cantSplit/>
        </w:trPr>
        <w:tc>
          <w:tcPr>
            <w:tcW w:type="dxa" w:w="5102"/>
          </w:tcPr>
          <w:p>
            <w:r/>
            <w:r>
              <w:rPr>
                <w:sz w:val="17"/>
              </w:rPr>
              <w:t>Cuadrillas con más tickets por técnico</w:t>
            </w:r>
          </w:p>
        </w:tc>
        <w:tc>
          <w:tcPr>
            <w:tcW w:type="dxa" w:w="4535"/>
          </w:tcPr>
          <w:p>
            <w:r/>
            <w:r>
              <w:rPr>
                <w:b/>
                <w:sz w:val="17"/>
              </w:rPr>
              <w:t>CUA-041 105,7 · CUA-021 101,7 · CUA-033 101,7</w:t>
            </w:r>
          </w:p>
        </w:tc>
      </w:tr>
      <w:tr>
        <w:trPr>
          <w:cantSplit/>
        </w:trPr>
        <w:tc>
          <w:tcPr>
            <w:tcW w:type="dxa" w:w="5102"/>
          </w:tcPr>
          <w:p>
            <w:r/>
            <w:r>
              <w:rPr>
                <w:sz w:val="17"/>
              </w:rPr>
              <w:t>% de tickets con MTTR alto</w:t>
            </w:r>
          </w:p>
        </w:tc>
        <w:tc>
          <w:tcPr>
            <w:tcW w:type="dxa" w:w="4535"/>
          </w:tcPr>
          <w:p>
            <w:r/>
            <w:r>
              <w:rPr>
                <w:b/>
                <w:sz w:val="17"/>
              </w:rPr>
              <w:t>16,4 %</w:t>
            </w:r>
          </w:p>
        </w:tc>
      </w:tr>
      <w:tr>
        <w:trPr>
          <w:cantSplit/>
        </w:trPr>
        <w:tc>
          <w:tcPr>
            <w:tcW w:type="dxa" w:w="5102"/>
          </w:tcPr>
          <w:p>
            <w:r>
              <w:rPr>
                <w:sz w:val="17"/>
              </w:rPr>
              <w:t>Correlación experiencia – MTTR por cuadrilla</w:t>
            </w:r>
          </w:p>
        </w:tc>
        <w:tc>
          <w:tcPr>
            <w:tcW w:type="dxa" w:w="4535"/>
          </w:tcPr>
          <w:p>
            <w:r>
              <w:rPr>
                <w:b/>
                <w:sz w:val="17"/>
              </w:rPr>
              <w:t>0,05 (no interpretable: la experiencia cambia al azar entre meses)</w:t>
            </w:r>
          </w:p>
        </w:tc>
      </w:tr>
    </w:tbl>
    <w:p>
      <w:pPr>
        <w:spacing w:after="40"/>
      </w:pPr>
    </w:p>
    <w:p>
      <w:pPr>
        <w:spacing w:after="120"/>
      </w:pPr>
      <w:r>
        <w:rPr>
          <w:b/>
          <w:color w:val="B04A1A"/>
        </w:rPr>
        <w:t xml:space="preserve">Riesgo a vigilar: </w:t>
      </w:r>
      <w:r>
        <w:rPr>
          <w:b w:val="0"/>
        </w:rPr>
        <w:t>hr_schedules tiene una fila por técnico y mes: contar filas cuenta técnico-meses. La experiencia cambia al azar entre meses para todos los técnicos: no sirve como criterio de asignación ni para relacionarla con el MTTR. Repórtela como brecha de calidad de datos (DCAM) y pida a Recursos Humanos el dato acumulado.</w:t>
      </w:r>
    </w:p>
    <w:p>
      <w:pPr>
        <w:pStyle w:val="Heading3"/>
      </w:pPr>
      <w:r>
        <w:t>Evidencia 3. Separación entre datos necesarios para operar y datos personales que no deben exponerse.</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rednexo_crm_billing_silver</w:t>
            </w:r>
          </w:p>
        </w:tc>
        <w:tc>
          <w:tcPr>
            <w:tcW w:type="dxa" w:w="6520"/>
          </w:tcPr>
          <w:p>
            <w:r/>
            <w:r>
              <w:rPr>
                <w:sz w:val="17"/>
              </w:rPr>
              <w:t>abonado_nombre (seudónimo)</w:t>
            </w:r>
          </w:p>
        </w:tc>
      </w:tr>
      <w:tr>
        <w:trPr>
          <w:cantSplit/>
        </w:trPr>
        <w:tc>
          <w:tcPr>
            <w:tcW w:type="dxa" w:w="3118"/>
          </w:tcPr>
          <w:p>
            <w:r/>
            <w:r>
              <w:rPr>
                <w:sz w:val="17"/>
              </w:rPr>
              <w:t>rednexo_hr_schedules_silver</w:t>
            </w:r>
          </w:p>
        </w:tc>
        <w:tc>
          <w:tcPr>
            <w:tcW w:type="dxa" w:w="6520"/>
          </w:tcPr>
          <w:p>
            <w:r/>
            <w:r>
              <w:rPr>
                <w:sz w:val="17"/>
              </w:rPr>
              <w:t>tecnico_nombre (seudónimo)</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Quitar abonado_nombre y tecnico_nombre en Power Query si el tablero no los necesita.</w:t>
      </w:r>
    </w:p>
    <w:p>
      <w:pPr>
        <w:pStyle w:val="ListParagraph"/>
        <w:spacing w:after="40"/>
      </w:pPr>
      <w:r>
        <w:rPr>
          <w:b/>
        </w:rPr>
        <w:t xml:space="preserve">2. </w:t>
      </w:r>
      <w:r>
        <w:rPr>
          <w:b w:val="0"/>
        </w:rPr>
        <w:t>Si un rol los necesita, ocultarlos del informe y limitar las filas con seguridad por filas por zona.</w:t>
      </w:r>
    </w:p>
    <w:p>
      <w:pPr>
        <w:pStyle w:val="ListParagraph"/>
        <w:spacing w:after="40"/>
      </w:pPr>
      <w:r>
        <w:rPr>
          <w:b/>
        </w:rPr>
        <w:t xml:space="preserve">3. </w:t>
      </w:r>
      <w:r>
        <w:rPr>
          <w:b w:val="0"/>
        </w:rPr>
        <w:t>Crear la tabla de autorización del equipo (correo, rol, zona) y la regla con USERPRINCIPALNAME(), como en la Sesión 11.</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 Regla de ejemplo en dim_zona (rol Jefe de zona)</w:t>
      </w:r>
    </w:p>
    <w:p>
      <w:pPr>
        <w:spacing w:after="0"/>
        <w:ind w:left="170"/>
        <w:shd w:val="clear" w:color="auto" w:fill="F2F5F3"/>
      </w:pPr>
      <w:r>
        <w:rPr>
          <w:rFonts w:ascii="Consolas" w:hAnsi="Consolas" w:eastAsia="Consolas"/>
          <w:sz w:val="16"/>
        </w:rPr>
        <w:t>dim_zona[zona] IN CALCULATETABLE ( VALUES ( usuarios_rls[zona] ), usuarios_rls[correo] = USERPRINCIPALNAME ()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Columnas personales en las tablas del subcaso</w:t>
            </w:r>
          </w:p>
        </w:tc>
        <w:tc>
          <w:tcPr>
            <w:tcW w:type="dxa" w:w="4535"/>
          </w:tcPr>
          <w:p>
            <w:r/>
            <w:r>
              <w:rPr>
                <w:b/>
                <w:sz w:val="17"/>
              </w:rPr>
              <w:t>2 (abonado_nombre, tecnico_nombre)</w:t>
            </w:r>
          </w:p>
        </w:tc>
      </w:tr>
      <w:tr>
        <w:trPr>
          <w:cantSplit/>
        </w:trPr>
        <w:tc>
          <w:tcPr>
            <w:tcW w:type="dxa" w:w="5102"/>
          </w:tcPr>
          <w:p>
            <w:r/>
            <w:r>
              <w:rPr>
                <w:sz w:val="17"/>
              </w:rPr>
              <w:t>Zonas para segmentar el acceso</w:t>
            </w:r>
          </w:p>
        </w:tc>
        <w:tc>
          <w:tcPr>
            <w:tcW w:type="dxa" w:w="4535"/>
          </w:tcPr>
          <w:p>
            <w:r/>
            <w:r>
              <w:rPr>
                <w:b/>
                <w:sz w:val="17"/>
              </w:rPr>
              <w:t>7</w:t>
            </w:r>
          </w:p>
        </w:tc>
      </w:tr>
    </w:tbl>
    <w:p>
      <w:pPr>
        <w:spacing w:after="40"/>
      </w:pPr>
    </w:p>
    <w:p>
      <w:pPr>
        <w:spacing w:after="120"/>
      </w:pPr>
      <w:r>
        <w:rPr>
          <w:b/>
          <w:color w:val="B04A1A"/>
        </w:rPr>
        <w:t xml:space="preserve">Riesgo a vigilar: </w:t>
      </w:r>
      <w:r>
        <w:rPr>
          <w:b w:val="0"/>
        </w:rPr>
        <w:t>Un seudónimo sigue identificando a una persona dentro del caso. Agregar por cuadrilla o zona reduce la exposición individual en los indicadores publicados.</w:t>
      </w:r>
    </w:p>
    <w:p>
      <w:r>
        <w:br w:type="page"/>
      </w:r>
    </w:p>
    <w:p>
      <w:pPr>
        <w:pStyle w:val="Heading1"/>
      </w:pPr>
      <w:r>
        <w:t>Subcaso 03A — Dirección Comercial y Clientes</w:t>
      </w:r>
    </w:p>
    <w:p>
      <w:r>
        <w:rPr>
          <w:b/>
        </w:rPr>
        <w:t xml:space="preserve">Caso 03 — AndinaLog  ·  Mandato: </w:t>
      </w:r>
      <w:r>
        <w:t>Analizar rentabilidad, cumplimiento OTIF, satisfacción y merma por cliente, tipo de canal, producto y categoría logística.</w:t>
      </w:r>
    </w:p>
    <w:p>
      <w:r>
        <w:rPr>
          <w:b/>
        </w:rPr>
        <w:t xml:space="preserve">Cruce: </w:t>
      </w:r>
      <w:r>
        <w:t>Clientes y productos → órdenes; órdenes → satisfacción; clientes → márgenes; lotes → órdenes.</w:t>
      </w:r>
    </w:p>
    <w:p>
      <w:pPr>
        <w:pStyle w:val="Heading2"/>
      </w:pPr>
      <w:r>
        <w:t>Tablas y su rol en el modelo de datos</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608"/>
        <w:gridCol w:w="1701"/>
        <w:gridCol w:w="2608"/>
        <w:gridCol w:w="2721"/>
      </w:tblGrid>
      <w:tr>
        <w:trPr>
          <w:cantSplit/>
          <w:tblHeader/>
        </w:trPr>
        <w:tc>
          <w:tcPr>
            <w:tcW w:type="dxa" w:w="2608"/>
            <w:shd w:val="clear" w:color="auto" w:fill="DCEEE2"/>
          </w:tcPr>
          <w:p>
            <w:r/>
            <w:r>
              <w:rPr>
                <w:b/>
                <w:color w:val="20603D"/>
                <w:sz w:val="17"/>
              </w:rPr>
              <w:t>Tabla</w:t>
            </w:r>
          </w:p>
        </w:tc>
        <w:tc>
          <w:tcPr>
            <w:tcW w:type="dxa" w:w="1701"/>
            <w:shd w:val="clear" w:color="auto" w:fill="DCEEE2"/>
          </w:tcPr>
          <w:p>
            <w:r/>
            <w:r>
              <w:rPr>
                <w:b/>
                <w:color w:val="20603D"/>
                <w:sz w:val="17"/>
              </w:rPr>
              <w:t>Grano (filas)</w:t>
            </w:r>
          </w:p>
        </w:tc>
        <w:tc>
          <w:tcPr>
            <w:tcW w:type="dxa" w:w="2608"/>
            <w:shd w:val="clear" w:color="auto" w:fill="DCEEE2"/>
          </w:tcPr>
          <w:p>
            <w:r/>
            <w:r>
              <w:rPr>
                <w:b/>
                <w:color w:val="20603D"/>
                <w:sz w:val="17"/>
              </w:rPr>
              <w:t>Rol</w:t>
            </w:r>
          </w:p>
        </w:tc>
        <w:tc>
          <w:tcPr>
            <w:tcW w:type="dxa" w:w="2721"/>
            <w:shd w:val="clear" w:color="auto" w:fill="DCEEE2"/>
          </w:tcPr>
          <w:p>
            <w:r/>
            <w:r>
              <w:rPr>
                <w:b/>
                <w:color w:val="20603D"/>
                <w:sz w:val="17"/>
              </w:rPr>
              <w:t>Claves</w:t>
            </w:r>
          </w:p>
        </w:tc>
      </w:tr>
      <w:tr>
        <w:trPr>
          <w:cantSplit/>
        </w:trPr>
        <w:tc>
          <w:tcPr>
            <w:tcW w:type="dxa" w:w="2608"/>
          </w:tcPr>
          <w:p>
            <w:r/>
            <w:r>
              <w:rPr>
                <w:sz w:val="17"/>
              </w:rPr>
              <w:t>andinalog_wms_orders_silver</w:t>
            </w:r>
          </w:p>
        </w:tc>
        <w:tc>
          <w:tcPr>
            <w:tcW w:type="dxa" w:w="1701"/>
          </w:tcPr>
          <w:p>
            <w:r/>
            <w:r>
              <w:rPr>
                <w:sz w:val="17"/>
              </w:rPr>
              <w:t>1 orden (30.000)</w:t>
            </w:r>
          </w:p>
        </w:tc>
        <w:tc>
          <w:tcPr>
            <w:tcW w:type="dxa" w:w="2608"/>
          </w:tcPr>
          <w:p>
            <w:r/>
            <w:r>
              <w:rPr>
                <w:sz w:val="17"/>
              </w:rPr>
              <w:t>Hecho</w:t>
            </w:r>
          </w:p>
        </w:tc>
        <w:tc>
          <w:tcPr>
            <w:tcW w:type="dxa" w:w="2721"/>
          </w:tcPr>
          <w:p>
            <w:r/>
            <w:r>
              <w:rPr>
                <w:sz w:val="17"/>
              </w:rPr>
              <w:t>order_id (PK), cliente_id, producto_id, lote_id, centro_distribucion</w:t>
            </w:r>
          </w:p>
        </w:tc>
      </w:tr>
      <w:tr>
        <w:trPr>
          <w:cantSplit/>
        </w:trPr>
        <w:tc>
          <w:tcPr>
            <w:tcW w:type="dxa" w:w="2608"/>
          </w:tcPr>
          <w:p>
            <w:r/>
            <w:r>
              <w:rPr>
                <w:sz w:val="17"/>
              </w:rPr>
              <w:t>andinalog_client_satisfaction_silver</w:t>
            </w:r>
          </w:p>
        </w:tc>
        <w:tc>
          <w:tcPr>
            <w:tcW w:type="dxa" w:w="1701"/>
          </w:tcPr>
          <w:p>
            <w:r/>
            <w:r>
              <w:rPr>
                <w:sz w:val="17"/>
              </w:rPr>
              <w:t>1 encuesta (21.600; 72 % de las órdenes)</w:t>
            </w:r>
          </w:p>
        </w:tc>
        <w:tc>
          <w:tcPr>
            <w:tcW w:type="dxa" w:w="2608"/>
          </w:tcPr>
          <w:p>
            <w:r/>
            <w:r>
              <w:rPr>
                <w:sz w:val="17"/>
              </w:rPr>
              <w:t>Hecho</w:t>
            </w:r>
          </w:p>
        </w:tc>
        <w:tc>
          <w:tcPr>
            <w:tcW w:type="dxa" w:w="2721"/>
          </w:tcPr>
          <w:p>
            <w:r/>
            <w:r>
              <w:rPr>
                <w:sz w:val="17"/>
              </w:rPr>
              <w:t>order_id</w:t>
            </w:r>
          </w:p>
        </w:tc>
      </w:tr>
      <w:tr>
        <w:trPr>
          <w:cantSplit/>
        </w:trPr>
        <w:tc>
          <w:tcPr>
            <w:tcW w:type="dxa" w:w="2608"/>
          </w:tcPr>
          <w:p>
            <w:r/>
            <w:r>
              <w:rPr>
                <w:sz w:val="17"/>
              </w:rPr>
              <w:t>andinalog_clientes_silver</w:t>
            </w:r>
          </w:p>
        </w:tc>
        <w:tc>
          <w:tcPr>
            <w:tcW w:type="dxa" w:w="1701"/>
          </w:tcPr>
          <w:p>
            <w:r/>
            <w:r>
              <w:rPr>
                <w:sz w:val="17"/>
              </w:rPr>
              <w:t>1 cliente (400)</w:t>
            </w:r>
          </w:p>
        </w:tc>
        <w:tc>
          <w:tcPr>
            <w:tcW w:type="dxa" w:w="2608"/>
          </w:tcPr>
          <w:p>
            <w:r/>
            <w:r>
              <w:rPr>
                <w:sz w:val="17"/>
              </w:rPr>
              <w:t>Dimensión</w:t>
            </w:r>
          </w:p>
        </w:tc>
        <w:tc>
          <w:tcPr>
            <w:tcW w:type="dxa" w:w="2721"/>
          </w:tcPr>
          <w:p>
            <w:r/>
            <w:r>
              <w:rPr>
                <w:sz w:val="17"/>
              </w:rPr>
              <w:t>cliente_id (PK)</w:t>
            </w:r>
          </w:p>
        </w:tc>
      </w:tr>
      <w:tr>
        <w:trPr>
          <w:cantSplit/>
        </w:trPr>
        <w:tc>
          <w:tcPr>
            <w:tcW w:type="dxa" w:w="2608"/>
          </w:tcPr>
          <w:p>
            <w:r/>
            <w:r>
              <w:rPr>
                <w:sz w:val="17"/>
              </w:rPr>
              <w:t>andinalog_productos_silver</w:t>
            </w:r>
          </w:p>
        </w:tc>
        <w:tc>
          <w:tcPr>
            <w:tcW w:type="dxa" w:w="1701"/>
          </w:tcPr>
          <w:p>
            <w:r/>
            <w:r>
              <w:rPr>
                <w:sz w:val="17"/>
              </w:rPr>
              <w:t>1 producto (120)</w:t>
            </w:r>
          </w:p>
        </w:tc>
        <w:tc>
          <w:tcPr>
            <w:tcW w:type="dxa" w:w="2608"/>
          </w:tcPr>
          <w:p>
            <w:r/>
            <w:r>
              <w:rPr>
                <w:sz w:val="17"/>
              </w:rPr>
              <w:t>Dimensión</w:t>
            </w:r>
          </w:p>
        </w:tc>
        <w:tc>
          <w:tcPr>
            <w:tcW w:type="dxa" w:w="2721"/>
          </w:tcPr>
          <w:p>
            <w:r/>
            <w:r>
              <w:rPr>
                <w:sz w:val="17"/>
              </w:rPr>
              <w:t>producto_id (PK)</w:t>
            </w:r>
          </w:p>
        </w:tc>
      </w:tr>
      <w:tr>
        <w:trPr>
          <w:cantSplit/>
        </w:trPr>
        <w:tc>
          <w:tcPr>
            <w:tcW w:type="dxa" w:w="2608"/>
          </w:tcPr>
          <w:p>
            <w:r/>
            <w:r>
              <w:rPr>
                <w:sz w:val="17"/>
              </w:rPr>
              <w:t>andinalog_commercial_margins_silver</w:t>
            </w:r>
          </w:p>
        </w:tc>
        <w:tc>
          <w:tcPr>
            <w:tcW w:type="dxa" w:w="1701"/>
          </w:tcPr>
          <w:p>
            <w:r/>
            <w:r>
              <w:rPr>
                <w:sz w:val="17"/>
              </w:rPr>
              <w:t>1 cliente (400), sin periodo</w:t>
            </w:r>
          </w:p>
        </w:tc>
        <w:tc>
          <w:tcPr>
            <w:tcW w:type="dxa" w:w="2608"/>
          </w:tcPr>
          <w:p>
            <w:r/>
            <w:r>
              <w:rPr>
                <w:sz w:val="17"/>
              </w:rPr>
              <w:t>Hecho de referencia</w:t>
            </w:r>
          </w:p>
        </w:tc>
        <w:tc>
          <w:tcPr>
            <w:tcW w:type="dxa" w:w="2721"/>
          </w:tcPr>
          <w:p>
            <w:r/>
            <w:r>
              <w:rPr>
                <w:sz w:val="17"/>
              </w:rPr>
              <w:t>cliente_id</w:t>
            </w:r>
          </w:p>
        </w:tc>
      </w:tr>
      <w:tr>
        <w:trPr>
          <w:cantSplit/>
        </w:trPr>
        <w:tc>
          <w:tcPr>
            <w:tcW w:type="dxa" w:w="2608"/>
          </w:tcPr>
          <w:p>
            <w:r/>
            <w:r>
              <w:rPr>
                <w:sz w:val="17"/>
              </w:rPr>
              <w:t>andinalog_inventory_tracking_silver</w:t>
            </w:r>
          </w:p>
        </w:tc>
        <w:tc>
          <w:tcPr>
            <w:tcW w:type="dxa" w:w="1701"/>
          </w:tcPr>
          <w:p>
            <w:r/>
            <w:r>
              <w:rPr>
                <w:sz w:val="17"/>
              </w:rPr>
              <w:t>1 lote (7.782)</w:t>
            </w:r>
          </w:p>
        </w:tc>
        <w:tc>
          <w:tcPr>
            <w:tcW w:type="dxa" w:w="2608"/>
          </w:tcPr>
          <w:p>
            <w:r/>
            <w:r>
              <w:rPr>
                <w:sz w:val="17"/>
              </w:rPr>
              <w:t>Tabla de búsqueda para la merma</w:t>
            </w:r>
          </w:p>
        </w:tc>
        <w:tc>
          <w:tcPr>
            <w:tcW w:type="dxa" w:w="2721"/>
          </w:tcPr>
          <w:p>
            <w:r/>
            <w:r>
              <w:rPr>
                <w:sz w:val="17"/>
              </w:rPr>
              <w:t>lote_id</w:t>
            </w:r>
          </w:p>
        </w:tc>
      </w:tr>
      <w:tr>
        <w:trPr>
          <w:cantSplit/>
        </w:trPr>
        <w:tc>
          <w:tcPr>
            <w:tcW w:type="dxa" w:w="2608"/>
          </w:tcPr>
          <w:p>
            <w:r/>
            <w:r>
              <w:rPr>
                <w:sz w:val="17"/>
              </w:rPr>
              <w:t>dim_fecha (DAX)</w:t>
            </w:r>
          </w:p>
        </w:tc>
        <w:tc>
          <w:tcPr>
            <w:tcW w:type="dxa" w:w="1701"/>
          </w:tcPr>
          <w:p>
            <w:r/>
            <w:r>
              <w:rPr>
                <w:sz w:val="17"/>
              </w:rPr>
              <w:t>1 día, 2023–2026</w:t>
            </w:r>
          </w:p>
        </w:tc>
        <w:tc>
          <w:tcPr>
            <w:tcW w:type="dxa" w:w="2608"/>
          </w:tcPr>
          <w:p>
            <w:r/>
            <w:r>
              <w:rPr>
                <w:sz w:val="17"/>
              </w:rPr>
              <w:t>Dimensión de fecha</w:t>
            </w:r>
          </w:p>
        </w:tc>
        <w:tc>
          <w:tcPr>
            <w:tcW w:type="dxa" w:w="2721"/>
          </w:tcPr>
          <w:p>
            <w:r/>
            <w:r>
              <w:rPr>
                <w:sz w:val="17"/>
              </w:rPr>
              <w:t>fecha (PK)</w:t>
            </w:r>
          </w:p>
        </w:tc>
      </w:tr>
    </w:tbl>
    <w:p>
      <w:pPr>
        <w:spacing w:after="40"/>
      </w:pPr>
    </w:p>
    <w:p>
      <w:pPr>
        <w:pStyle w:val="Heading2"/>
      </w:pPr>
      <w:r>
        <w:t>Relaciones a crear en el modelo</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494"/>
        <w:gridCol w:w="793"/>
        <w:gridCol w:w="2494"/>
        <w:gridCol w:w="3855"/>
      </w:tblGrid>
      <w:tr>
        <w:trPr>
          <w:cantSplit/>
          <w:tblHeader/>
        </w:trPr>
        <w:tc>
          <w:tcPr>
            <w:tcW w:type="dxa" w:w="2494"/>
            <w:shd w:val="clear" w:color="auto" w:fill="DCEEE2"/>
          </w:tcPr>
          <w:p>
            <w:r/>
            <w:r>
              <w:rPr>
                <w:b/>
                <w:color w:val="20603D"/>
                <w:sz w:val="17"/>
              </w:rPr>
              <w:t>Lado 1</w:t>
            </w:r>
          </w:p>
        </w:tc>
        <w:tc>
          <w:tcPr>
            <w:tcW w:type="dxa" w:w="794"/>
            <w:shd w:val="clear" w:color="auto" w:fill="DCEEE2"/>
          </w:tcPr>
          <w:p>
            <w:r/>
            <w:r>
              <w:rPr>
                <w:b/>
                <w:color w:val="20603D"/>
                <w:sz w:val="17"/>
              </w:rPr>
              <w:t>Card.</w:t>
            </w:r>
          </w:p>
        </w:tc>
        <w:tc>
          <w:tcPr>
            <w:tcW w:type="dxa" w:w="2494"/>
            <w:shd w:val="clear" w:color="auto" w:fill="DCEEE2"/>
          </w:tcPr>
          <w:p>
            <w:r/>
            <w:r>
              <w:rPr>
                <w:b/>
                <w:color w:val="20603D"/>
                <w:sz w:val="17"/>
              </w:rPr>
              <w:t>Lado N</w:t>
            </w:r>
          </w:p>
        </w:tc>
        <w:tc>
          <w:tcPr>
            <w:tcW w:type="dxa" w:w="3855"/>
            <w:shd w:val="clear" w:color="auto" w:fill="DCEEE2"/>
          </w:tcPr>
          <w:p>
            <w:r/>
            <w:r>
              <w:rPr>
                <w:b/>
                <w:color w:val="20603D"/>
                <w:sz w:val="17"/>
              </w:rPr>
              <w:t>Dirección / nota</w:t>
            </w:r>
          </w:p>
        </w:tc>
      </w:tr>
      <w:tr>
        <w:trPr>
          <w:cantSplit/>
        </w:trPr>
        <w:tc>
          <w:tcPr>
            <w:tcW w:type="dxa" w:w="2494"/>
          </w:tcPr>
          <w:p>
            <w:r/>
            <w:r>
              <w:rPr>
                <w:sz w:val="17"/>
              </w:rPr>
              <w:t>andinalog_clientes_silver</w:t>
            </w:r>
          </w:p>
        </w:tc>
        <w:tc>
          <w:tcPr>
            <w:tcW w:type="dxa" w:w="794"/>
          </w:tcPr>
          <w:p>
            <w:r/>
            <w:r>
              <w:rPr>
                <w:sz w:val="17"/>
              </w:rPr>
              <w:t>1 : N</w:t>
            </w:r>
          </w:p>
        </w:tc>
        <w:tc>
          <w:tcPr>
            <w:tcW w:type="dxa" w:w="2494"/>
          </w:tcPr>
          <w:p>
            <w:r/>
            <w:r>
              <w:rPr>
                <w:sz w:val="17"/>
              </w:rPr>
              <w:t>andinalog_wms_orders_silver</w:t>
            </w:r>
          </w:p>
        </w:tc>
        <w:tc>
          <w:tcPr>
            <w:tcW w:type="dxa" w:w="3855"/>
          </w:tcPr>
          <w:p>
            <w:r/>
            <w:r>
              <w:rPr>
                <w:sz w:val="17"/>
              </w:rPr>
              <w:t>Única</w:t>
            </w:r>
          </w:p>
        </w:tc>
      </w:tr>
      <w:tr>
        <w:trPr>
          <w:cantSplit/>
        </w:trPr>
        <w:tc>
          <w:tcPr>
            <w:tcW w:type="dxa" w:w="2494"/>
          </w:tcPr>
          <w:p>
            <w:r/>
            <w:r>
              <w:rPr>
                <w:sz w:val="17"/>
              </w:rPr>
              <w:t>andinalog_productos_silver</w:t>
            </w:r>
          </w:p>
        </w:tc>
        <w:tc>
          <w:tcPr>
            <w:tcW w:type="dxa" w:w="794"/>
          </w:tcPr>
          <w:p>
            <w:r/>
            <w:r>
              <w:rPr>
                <w:sz w:val="17"/>
              </w:rPr>
              <w:t>1 : N</w:t>
            </w:r>
          </w:p>
        </w:tc>
        <w:tc>
          <w:tcPr>
            <w:tcW w:type="dxa" w:w="2494"/>
          </w:tcPr>
          <w:p>
            <w:r/>
            <w:r>
              <w:rPr>
                <w:sz w:val="17"/>
              </w:rPr>
              <w:t>andinalog_wms_orders_silver</w:t>
            </w:r>
          </w:p>
        </w:tc>
        <w:tc>
          <w:tcPr>
            <w:tcW w:type="dxa" w:w="3855"/>
          </w:tcPr>
          <w:p>
            <w:r/>
            <w:r>
              <w:rPr>
                <w:sz w:val="17"/>
              </w:rPr>
              <w:t>Única</w:t>
            </w:r>
          </w:p>
        </w:tc>
      </w:tr>
      <w:tr>
        <w:trPr>
          <w:cantSplit/>
        </w:trPr>
        <w:tc>
          <w:tcPr>
            <w:tcW w:type="dxa" w:w="2494"/>
          </w:tcPr>
          <w:p>
            <w:r/>
            <w:r>
              <w:rPr>
                <w:sz w:val="17"/>
              </w:rPr>
              <w:t>andinalog_wms_orders_silver</w:t>
            </w:r>
          </w:p>
        </w:tc>
        <w:tc>
          <w:tcPr>
            <w:tcW w:type="dxa" w:w="794"/>
          </w:tcPr>
          <w:p>
            <w:r/>
            <w:r>
              <w:rPr>
                <w:sz w:val="17"/>
              </w:rPr>
              <w:t>1 : 1</w:t>
            </w:r>
          </w:p>
        </w:tc>
        <w:tc>
          <w:tcPr>
            <w:tcW w:type="dxa" w:w="2494"/>
          </w:tcPr>
          <w:p>
            <w:r/>
            <w:r>
              <w:rPr>
                <w:sz w:val="17"/>
              </w:rPr>
              <w:t>andinalog_client_satisfaction_silver</w:t>
            </w:r>
          </w:p>
        </w:tc>
        <w:tc>
          <w:tcPr>
            <w:tcW w:type="dxa" w:w="3855"/>
          </w:tcPr>
          <w:p>
            <w:r/>
            <w:r>
              <w:rPr>
                <w:sz w:val="17"/>
              </w:rPr>
              <w:t>Única, orden → encuesta</w:t>
            </w:r>
          </w:p>
        </w:tc>
      </w:tr>
      <w:tr>
        <w:trPr>
          <w:cantSplit/>
        </w:trPr>
        <w:tc>
          <w:tcPr>
            <w:tcW w:type="dxa" w:w="2494"/>
          </w:tcPr>
          <w:p>
            <w:r/>
            <w:r>
              <w:rPr>
                <w:sz w:val="17"/>
              </w:rPr>
              <w:t>andinalog_clientes_silver</w:t>
            </w:r>
          </w:p>
        </w:tc>
        <w:tc>
          <w:tcPr>
            <w:tcW w:type="dxa" w:w="794"/>
          </w:tcPr>
          <w:p>
            <w:r/>
            <w:r>
              <w:rPr>
                <w:sz w:val="17"/>
              </w:rPr>
              <w:t>1 : 1</w:t>
            </w:r>
          </w:p>
        </w:tc>
        <w:tc>
          <w:tcPr>
            <w:tcW w:type="dxa" w:w="2494"/>
          </w:tcPr>
          <w:p>
            <w:r/>
            <w:r>
              <w:rPr>
                <w:sz w:val="17"/>
              </w:rPr>
              <w:t>andinalog_commercial_margins_silver</w:t>
            </w:r>
          </w:p>
        </w:tc>
        <w:tc>
          <w:tcPr>
            <w:tcW w:type="dxa" w:w="3855"/>
          </w:tcPr>
          <w:p>
            <w:r/>
            <w:r>
              <w:rPr>
                <w:sz w:val="17"/>
              </w:rPr>
              <w:t>Única, cliente → margen</w:t>
            </w:r>
          </w:p>
        </w:tc>
      </w:tr>
      <w:tr>
        <w:trPr>
          <w:cantSplit/>
        </w:trPr>
        <w:tc>
          <w:tcPr>
            <w:tcW w:type="dxa" w:w="2494"/>
          </w:tcPr>
          <w:p>
            <w:r/>
            <w:r>
              <w:rPr>
                <w:sz w:val="17"/>
              </w:rPr>
              <w:t>dim_fecha</w:t>
            </w:r>
          </w:p>
        </w:tc>
        <w:tc>
          <w:tcPr>
            <w:tcW w:type="dxa" w:w="794"/>
          </w:tcPr>
          <w:p>
            <w:r/>
            <w:r>
              <w:rPr>
                <w:sz w:val="17"/>
              </w:rPr>
              <w:t>1 : N</w:t>
            </w:r>
          </w:p>
        </w:tc>
        <w:tc>
          <w:tcPr>
            <w:tcW w:type="dxa" w:w="2494"/>
          </w:tcPr>
          <w:p>
            <w:r/>
            <w:r>
              <w:rPr>
                <w:sz w:val="17"/>
              </w:rPr>
              <w:t>wms_orders[fecha] (fecha de fecha_despacho)</w:t>
            </w:r>
          </w:p>
        </w:tc>
        <w:tc>
          <w:tcPr>
            <w:tcW w:type="dxa" w:w="3855"/>
          </w:tcPr>
          <w:p>
            <w:r/>
            <w:r>
              <w:rPr>
                <w:sz w:val="17"/>
              </w:rPr>
              <w:t>Única</w:t>
            </w:r>
          </w:p>
        </w:tc>
      </w:tr>
      <w:tr>
        <w:trPr>
          <w:cantSplit/>
        </w:trPr>
        <w:tc>
          <w:tcPr>
            <w:tcW w:type="dxa" w:w="2494"/>
          </w:tcPr>
          <w:p>
            <w:r/>
            <w:r>
              <w:rPr>
                <w:sz w:val="17"/>
              </w:rPr>
              <w:t>inventory_tracking</w:t>
            </w:r>
          </w:p>
        </w:tc>
        <w:tc>
          <w:tcPr>
            <w:tcW w:type="dxa" w:w="794"/>
          </w:tcPr>
          <w:p>
            <w:r/>
            <w:r>
              <w:rPr>
                <w:sz w:val="17"/>
              </w:rPr>
              <w:t>sin relación en 03A</w:t>
            </w:r>
          </w:p>
        </w:tc>
        <w:tc>
          <w:tcPr>
            <w:tcW w:type="dxa" w:w="2494"/>
          </w:tcPr>
          <w:p>
            <w:r/>
            <w:r>
              <w:rPr>
                <w:sz w:val="17"/>
              </w:rPr>
              <w:t>—</w:t>
            </w:r>
          </w:p>
        </w:tc>
        <w:tc>
          <w:tcPr>
            <w:tcW w:type="dxa" w:w="3855"/>
          </w:tcPr>
          <w:p>
            <w:r/>
            <w:r>
              <w:rPr>
                <w:sz w:val="17"/>
              </w:rPr>
              <w:t>La merma se trae con LOOKUPVALUE por lote_id</w:t>
            </w:r>
          </w:p>
        </w:tc>
      </w:tr>
    </w:tbl>
    <w:p>
      <w:pPr>
        <w:spacing w:after="40"/>
      </w:pPr>
    </w:p>
    <w:p>
      <w:pPr>
        <w:pStyle w:val="Heading2"/>
      </w:pPr>
      <w:r>
        <w:t>Evidencias que el equipo debe producir</w:t>
      </w:r>
    </w:p>
    <w:p>
      <w:pPr>
        <w:pStyle w:val="Heading3"/>
      </w:pPr>
      <w:r>
        <w:t>Evidencia 1. OTIF y satisfacción por tipo de cliente, zona y categoría logística.</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andinalog_wms_orders_silver</w:t>
            </w:r>
          </w:p>
        </w:tc>
        <w:tc>
          <w:tcPr>
            <w:tcW w:type="dxa" w:w="6520"/>
          </w:tcPr>
          <w:p>
            <w:r/>
            <w:r>
              <w:rPr>
                <w:sz w:val="17"/>
              </w:rPr>
              <w:t>order_id, otif, otif_on_time, otif_in_full</w:t>
            </w:r>
          </w:p>
        </w:tc>
      </w:tr>
      <w:tr>
        <w:trPr>
          <w:cantSplit/>
        </w:trPr>
        <w:tc>
          <w:tcPr>
            <w:tcW w:type="dxa" w:w="3118"/>
          </w:tcPr>
          <w:p>
            <w:r/>
            <w:r>
              <w:rPr>
                <w:sz w:val="17"/>
              </w:rPr>
              <w:t>andinalog_client_satisfaction_silver</w:t>
            </w:r>
          </w:p>
        </w:tc>
        <w:tc>
          <w:tcPr>
            <w:tcW w:type="dxa" w:w="6520"/>
          </w:tcPr>
          <w:p>
            <w:r/>
            <w:r>
              <w:rPr>
                <w:sz w:val="17"/>
              </w:rPr>
              <w:t>order_id, satisfaccion_score</w:t>
            </w:r>
          </w:p>
        </w:tc>
      </w:tr>
      <w:tr>
        <w:trPr>
          <w:cantSplit/>
        </w:trPr>
        <w:tc>
          <w:tcPr>
            <w:tcW w:type="dxa" w:w="3118"/>
          </w:tcPr>
          <w:p>
            <w:r/>
            <w:r>
              <w:rPr>
                <w:sz w:val="17"/>
              </w:rPr>
              <w:t>andinalog_clientes_silver</w:t>
            </w:r>
          </w:p>
        </w:tc>
        <w:tc>
          <w:tcPr>
            <w:tcW w:type="dxa" w:w="6520"/>
          </w:tcPr>
          <w:p>
            <w:r/>
            <w:r>
              <w:rPr>
                <w:sz w:val="17"/>
              </w:rPr>
              <w:t>tipo_cliente, zona_despacho</w:t>
            </w:r>
          </w:p>
        </w:tc>
      </w:tr>
      <w:tr>
        <w:trPr>
          <w:cantSplit/>
        </w:trPr>
        <w:tc>
          <w:tcPr>
            <w:tcW w:type="dxa" w:w="3118"/>
          </w:tcPr>
          <w:p>
            <w:r/>
            <w:r>
              <w:rPr>
                <w:sz w:val="17"/>
              </w:rPr>
              <w:t>andinalog_productos_silver</w:t>
            </w:r>
          </w:p>
        </w:tc>
        <w:tc>
          <w:tcPr>
            <w:tcW w:type="dxa" w:w="6520"/>
          </w:tcPr>
          <w:p>
            <w:r/>
            <w:r>
              <w:rPr>
                <w:sz w:val="17"/>
              </w:rPr>
              <w:t>categoria_logistica</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Relación órdenes → encuestas 1 : 1 por order_id, dirección única.</w:t>
      </w:r>
    </w:p>
    <w:p>
      <w:pPr>
        <w:pStyle w:val="ListParagraph"/>
        <w:spacing w:after="40"/>
      </w:pPr>
      <w:r>
        <w:rPr>
          <w:b/>
        </w:rPr>
        <w:t xml:space="preserve">2. </w:t>
      </w:r>
      <w:r>
        <w:rPr>
          <w:b w:val="0"/>
        </w:rPr>
        <w:t>Matriz con tipo de cliente y categoría logística desde las dimensiones, nunca desde la tabla de encuestas.</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OTIF = AVERAGE ( andinalog_wms_orders_silver[otif] )</w:t>
      </w:r>
    </w:p>
    <w:p>
      <w:pPr>
        <w:spacing w:after="0"/>
        <w:ind w:left="170"/>
        <w:shd w:val="clear" w:color="auto" w:fill="F2F5F3"/>
      </w:pPr>
      <w:r>
        <w:rPr>
          <w:rFonts w:ascii="Consolas" w:hAnsi="Consolas" w:eastAsia="Consolas"/>
          <w:sz w:val="16"/>
        </w:rPr>
        <w:t>On Time = AVERAGE ( andinalog_wms_orders_silver[otif_on_time] )</w:t>
      </w:r>
    </w:p>
    <w:p>
      <w:pPr>
        <w:spacing w:after="0"/>
        <w:ind w:left="170"/>
        <w:shd w:val="clear" w:color="auto" w:fill="F2F5F3"/>
      </w:pPr>
      <w:r>
        <w:rPr>
          <w:rFonts w:ascii="Consolas" w:hAnsi="Consolas" w:eastAsia="Consolas"/>
          <w:sz w:val="16"/>
        </w:rPr>
        <w:t>In Full = AVERAGE ( andinalog_wms_orders_silver[otif_in_full] )</w:t>
      </w:r>
    </w:p>
    <w:p>
      <w:pPr>
        <w:spacing w:after="0"/>
        <w:ind w:left="170"/>
        <w:shd w:val="clear" w:color="auto" w:fill="F2F5F3"/>
      </w:pPr>
      <w:r>
        <w:rPr>
          <w:rFonts w:ascii="Consolas" w:hAnsi="Consolas" w:eastAsia="Consolas"/>
          <w:sz w:val="16"/>
        </w:rPr>
        <w:t>N Órdenes = COUNTROWS ( andinalog_wms_orders_silver )</w:t>
      </w:r>
    </w:p>
    <w:p>
      <w:pPr>
        <w:spacing w:after="0"/>
        <w:ind w:left="170"/>
        <w:shd w:val="clear" w:color="auto" w:fill="F2F5F3"/>
      </w:pPr>
      <w:r>
        <w:rPr>
          <w:rFonts w:ascii="Consolas" w:hAnsi="Consolas" w:eastAsia="Consolas"/>
          <w:sz w:val="16"/>
        </w:rPr>
        <w:t>Satisfacción Promedio = AVERAGE ( andinalog_client_satisfaction_silver[satisfaccion_score] )</w:t>
      </w:r>
    </w:p>
    <w:p>
      <w:pPr>
        <w:spacing w:after="0"/>
        <w:ind w:left="170"/>
        <w:shd w:val="clear" w:color="auto" w:fill="F2F5F3"/>
      </w:pPr>
      <w:r>
        <w:rPr>
          <w:rFonts w:ascii="Consolas" w:hAnsi="Consolas" w:eastAsia="Consolas"/>
          <w:sz w:val="16"/>
        </w:rPr>
        <w:t>N Evaluadas = COUNTROWS ( andinalog_client_satisfaction_silver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OTIF · on time · in full</w:t>
            </w:r>
          </w:p>
        </w:tc>
        <w:tc>
          <w:tcPr>
            <w:tcW w:type="dxa" w:w="4535"/>
          </w:tcPr>
          <w:p>
            <w:r/>
            <w:r>
              <w:rPr>
                <w:b/>
                <w:sz w:val="17"/>
              </w:rPr>
              <w:t>82,18 % · 86,32 % · 94,94 %</w:t>
            </w:r>
          </w:p>
        </w:tc>
      </w:tr>
      <w:tr>
        <w:trPr>
          <w:cantSplit/>
        </w:trPr>
        <w:tc>
          <w:tcPr>
            <w:tcW w:type="dxa" w:w="5102"/>
          </w:tcPr>
          <w:p>
            <w:r/>
            <w:r>
              <w:rPr>
                <w:sz w:val="17"/>
              </w:rPr>
              <w:t>Encuestas · cobertura · satisfacción</w:t>
            </w:r>
          </w:p>
        </w:tc>
        <w:tc>
          <w:tcPr>
            <w:tcW w:type="dxa" w:w="4535"/>
          </w:tcPr>
          <w:p>
            <w:r/>
            <w:r>
              <w:rPr>
                <w:b/>
                <w:sz w:val="17"/>
              </w:rPr>
              <w:t>21.600 · 72 % · 4,17</w:t>
            </w:r>
          </w:p>
        </w:tc>
      </w:tr>
      <w:tr>
        <w:trPr>
          <w:cantSplit/>
        </w:trPr>
        <w:tc>
          <w:tcPr>
            <w:tcW w:type="dxa" w:w="5102"/>
          </w:tcPr>
          <w:p>
            <w:r/>
            <w:r>
              <w:rPr>
                <w:sz w:val="17"/>
              </w:rPr>
              <w:t>OTIF de órdenes evaluadas frente a no evaluadas</w:t>
            </w:r>
          </w:p>
        </w:tc>
        <w:tc>
          <w:tcPr>
            <w:tcW w:type="dxa" w:w="4535"/>
          </w:tcPr>
          <w:p>
            <w:r/>
            <w:r>
              <w:rPr>
                <w:b/>
                <w:sz w:val="17"/>
              </w:rPr>
              <w:t>82,10 % frente a 82,38 %</w:t>
            </w:r>
          </w:p>
        </w:tc>
      </w:tr>
      <w:tr>
        <w:trPr>
          <w:cantSplit/>
        </w:trPr>
        <w:tc>
          <w:tcPr>
            <w:tcW w:type="dxa" w:w="5102"/>
          </w:tcPr>
          <w:p>
            <w:r/>
            <w:r>
              <w:rPr>
                <w:sz w:val="17"/>
              </w:rPr>
              <w:t>Satisfacción según OTIF</w:t>
            </w:r>
          </w:p>
        </w:tc>
        <w:tc>
          <w:tcPr>
            <w:tcW w:type="dxa" w:w="4535"/>
          </w:tcPr>
          <w:p>
            <w:r/>
            <w:r>
              <w:rPr>
                <w:b/>
                <w:sz w:val="17"/>
              </w:rPr>
              <w:t>2,75 con OTIF = 0 · 4,48 con OTIF = 1</w:t>
            </w:r>
          </w:p>
        </w:tc>
      </w:tr>
      <w:tr>
        <w:trPr>
          <w:cantSplit/>
        </w:trPr>
        <w:tc>
          <w:tcPr>
            <w:tcW w:type="dxa" w:w="5102"/>
          </w:tcPr>
          <w:p>
            <w:r/>
            <w:r>
              <w:rPr>
                <w:sz w:val="17"/>
              </w:rPr>
              <w:t>OTIF por categoría</w:t>
            </w:r>
          </w:p>
        </w:tc>
        <w:tc>
          <w:tcPr>
            <w:tcW w:type="dxa" w:w="4535"/>
          </w:tcPr>
          <w:p>
            <w:r/>
            <w:r>
              <w:rPr>
                <w:b/>
                <w:sz w:val="17"/>
              </w:rPr>
              <w:t>Ambiente 90,7 % · Frágil 84,5 % · Refrigerado 80,5 % · Congelado 72,5 %</w:t>
            </w:r>
          </w:p>
        </w:tc>
      </w:tr>
      <w:tr>
        <w:trPr>
          <w:cantSplit/>
        </w:trPr>
        <w:tc>
          <w:tcPr>
            <w:tcW w:type="dxa" w:w="5102"/>
          </w:tcPr>
          <w:p>
            <w:r/>
            <w:r>
              <w:rPr>
                <w:sz w:val="17"/>
              </w:rPr>
              <w:t>OTIF por zona</w:t>
            </w:r>
          </w:p>
        </w:tc>
        <w:tc>
          <w:tcPr>
            <w:tcW w:type="dxa" w:w="4535"/>
          </w:tcPr>
          <w:p>
            <w:r/>
            <w:r>
              <w:rPr>
                <w:b/>
                <w:sz w:val="17"/>
              </w:rPr>
              <w:t>La Paz 87,1 % · Cochabamba 85,0 % · Santa Cruz 84,1 % · Oruro 81,5 % · Tarija 79,1 % · Sucre 76,5 %</w:t>
            </w:r>
          </w:p>
        </w:tc>
      </w:tr>
      <w:tr>
        <w:trPr>
          <w:cantSplit/>
        </w:trPr>
        <w:tc>
          <w:tcPr>
            <w:tcW w:type="dxa" w:w="5102"/>
          </w:tcPr>
          <w:p>
            <w:r/>
            <w:r>
              <w:rPr>
                <w:sz w:val="17"/>
              </w:rPr>
              <w:t>OTIF por tipo de cliente</w:t>
            </w:r>
          </w:p>
        </w:tc>
        <w:tc>
          <w:tcPr>
            <w:tcW w:type="dxa" w:w="4535"/>
          </w:tcPr>
          <w:p>
            <w:r/>
            <w:r>
              <w:rPr>
                <w:b/>
                <w:sz w:val="17"/>
              </w:rPr>
              <w:t>Supermercado 84,2 % · Institucional 83,7 % · Mayorista 83,0 % · Restaurante 81,3 % · Minorista 79,3 %</w:t>
            </w:r>
          </w:p>
        </w:tc>
      </w:tr>
    </w:tbl>
    <w:p>
      <w:pPr>
        <w:spacing w:after="40"/>
      </w:pPr>
    </w:p>
    <w:p>
      <w:pPr>
        <w:spacing w:after="120"/>
      </w:pPr>
      <w:r>
        <w:rPr>
          <w:b/>
          <w:color w:val="B04A1A"/>
        </w:rPr>
        <w:t xml:space="preserve">Riesgo a vigilar: </w:t>
      </w:r>
      <w:r>
        <w:rPr>
          <w:b w:val="0"/>
        </w:rPr>
        <w:t>En v10 la encuesta cubre el 72 % de las órdenes y su OTIF es casi igual al del resto: ya no hay sesgo de muestreo visible. Aun así, informe N Evaluadas junto a la satisfacción, porque el promedio se calcula sobre otra base que el OTIF.</w:t>
      </w:r>
    </w:p>
    <w:p>
      <w:pPr>
        <w:pStyle w:val="Heading3"/>
      </w:pPr>
      <w:r>
        <w:t>Evidencia 2. Rentabilidad comercial ajustada por devoluciones, mermas y costo de adquisición.</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andinalog_commercial_margins_silver</w:t>
            </w:r>
          </w:p>
        </w:tc>
        <w:tc>
          <w:tcPr>
            <w:tcW w:type="dxa" w:w="6520"/>
          </w:tcPr>
          <w:p>
            <w:r/>
            <w:r>
              <w:rPr>
                <w:sz w:val="17"/>
              </w:rPr>
              <w:t>ingreso_bruto_bob, costo_ventas_bob, cac_bob</w:t>
            </w:r>
          </w:p>
        </w:tc>
      </w:tr>
      <w:tr>
        <w:trPr>
          <w:cantSplit/>
        </w:trPr>
        <w:tc>
          <w:tcPr>
            <w:tcW w:type="dxa" w:w="3118"/>
          </w:tcPr>
          <w:p>
            <w:r/>
            <w:r>
              <w:rPr>
                <w:sz w:val="17"/>
              </w:rPr>
              <w:t>andinalog_client_satisfaction_silver</w:t>
            </w:r>
          </w:p>
        </w:tc>
        <w:tc>
          <w:tcPr>
            <w:tcW w:type="dxa" w:w="6520"/>
          </w:tcPr>
          <w:p>
            <w:r/>
            <w:r>
              <w:rPr>
                <w:sz w:val="17"/>
              </w:rPr>
              <w:t>costo_devolucion_bob</w:t>
            </w:r>
          </w:p>
        </w:tc>
      </w:tr>
      <w:tr>
        <w:trPr>
          <w:cantSplit/>
        </w:trPr>
        <w:tc>
          <w:tcPr>
            <w:tcW w:type="dxa" w:w="3118"/>
          </w:tcPr>
          <w:p>
            <w:r/>
            <w:r>
              <w:rPr>
                <w:sz w:val="17"/>
              </w:rPr>
              <w:t>andinalog_inventory_tracking_silver</w:t>
            </w:r>
          </w:p>
        </w:tc>
        <w:tc>
          <w:tcPr>
            <w:tcW w:type="dxa" w:w="6520"/>
          </w:tcPr>
          <w:p>
            <w:r/>
            <w:r>
              <w:rPr>
                <w:sz w:val="17"/>
              </w:rPr>
              <w:t>lote_id, cantidad_merma, costo_unitario_bob</w:t>
            </w:r>
          </w:p>
        </w:tc>
      </w:tr>
      <w:tr>
        <w:trPr>
          <w:cantSplit/>
        </w:trPr>
        <w:tc>
          <w:tcPr>
            <w:tcW w:type="dxa" w:w="3118"/>
          </w:tcPr>
          <w:p>
            <w:r/>
            <w:r>
              <w:rPr>
                <w:sz w:val="17"/>
              </w:rPr>
              <w:t>andinalog_wms_orders_silver</w:t>
            </w:r>
          </w:p>
        </w:tc>
        <w:tc>
          <w:tcPr>
            <w:tcW w:type="dxa" w:w="6520"/>
          </w:tcPr>
          <w:p>
            <w:r/>
            <w:r>
              <w:rPr>
                <w:sz w:val="17"/>
              </w:rPr>
              <w:t>lote_id, cantidad_entregada</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La merma es del lote y un lote abastece en promedio 3,86 órdenes: se reparte entre sus órdenes según la cantidad entregada.</w:t>
      </w:r>
    </w:p>
    <w:p>
      <w:pPr>
        <w:pStyle w:val="ListParagraph"/>
        <w:spacing w:after="40"/>
      </w:pPr>
      <w:r>
        <w:rPr>
          <w:b/>
        </w:rPr>
        <w:t xml:space="preserve">2. </w:t>
      </w:r>
      <w:r>
        <w:rPr>
          <w:b w:val="0"/>
        </w:rPr>
        <w:t>Se trae con LOOKUPVALUE, sin relacionar inventario con órdenes, para no crear un segundo camino producto → inventario → órdenes.</w:t>
      </w:r>
    </w:p>
    <w:p>
      <w:pPr>
        <w:pStyle w:val="ListParagraph"/>
        <w:spacing w:after="40"/>
      </w:pPr>
      <w:r>
        <w:rPr>
          <w:b/>
        </w:rPr>
        <w:t xml:space="preserve">3. </w:t>
      </w:r>
      <w:r>
        <w:rPr>
          <w:b w:val="0"/>
        </w:rPr>
        <w:t>Los márgenes no tienen fecha: no se pueden filtrar por periodo.</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 Columnas calculadas en andinalog_wms_orders_silver</w:t>
      </w:r>
    </w:p>
    <w:p>
      <w:pPr>
        <w:spacing w:after="0"/>
        <w:ind w:left="170"/>
        <w:shd w:val="clear" w:color="auto" w:fill="F2F5F3"/>
      </w:pPr>
      <w:r>
        <w:rPr>
          <w:rFonts w:ascii="Consolas" w:hAnsi="Consolas" w:eastAsia="Consolas"/>
          <w:sz w:val="16"/>
        </w:rPr>
        <w:t>Merma Lote (Bs) =</w:t>
      </w:r>
    </w:p>
    <w:p>
      <w:pPr>
        <w:spacing w:after="0"/>
        <w:ind w:left="170"/>
        <w:shd w:val="clear" w:color="auto" w:fill="F2F5F3"/>
      </w:pPr>
      <w:r>
        <w:rPr>
          <w:rFonts w:ascii="Consolas" w:hAnsi="Consolas" w:eastAsia="Consolas"/>
          <w:sz w:val="16"/>
        </w:rPr>
        <w:t>LOOKUPVALUE ( andinalog_inventory_tracking_silver[cantidad_merma], andinalog_inventory_tracking_silver[lote_id], andinalog_wms_orders_silver[lote_id] )</w:t>
      </w:r>
    </w:p>
    <w:p>
      <w:pPr>
        <w:spacing w:after="0"/>
        <w:ind w:left="170"/>
        <w:shd w:val="clear" w:color="auto" w:fill="F2F5F3"/>
      </w:pPr>
      <w:r>
        <w:rPr>
          <w:rFonts w:ascii="Consolas" w:hAnsi="Consolas" w:eastAsia="Consolas"/>
          <w:sz w:val="16"/>
        </w:rPr>
        <w:t xml:space="preserve">  * LOOKUPVALUE ( andinalog_inventory_tracking_silver[costo_unitario_bob], andinalog_inventory_tracking_silver[lote_id], andinalog_wms_orders_silver[lote_id] )</w:t>
      </w:r>
    </w:p>
    <w:p>
      <w:pPr>
        <w:spacing w:after="0"/>
        <w:ind w:left="170"/>
        <w:shd w:val="clear" w:color="auto" w:fill="F2F5F3"/>
      </w:pPr>
      <w:r>
        <w:rPr>
          <w:rFonts w:ascii="Consolas" w:hAnsi="Consolas" w:eastAsia="Consolas"/>
          <w:sz w:val="16"/>
        </w:rPr>
        <w:t>Merma Asignada (Bs) =</w:t>
      </w:r>
    </w:p>
    <w:p>
      <w:pPr>
        <w:spacing w:after="0"/>
        <w:ind w:left="170"/>
        <w:shd w:val="clear" w:color="auto" w:fill="F2F5F3"/>
      </w:pPr>
      <w:r>
        <w:rPr>
          <w:rFonts w:ascii="Consolas" w:hAnsi="Consolas" w:eastAsia="Consolas"/>
          <w:sz w:val="16"/>
        </w:rPr>
        <w:t>VAR total_lote = CALCULATE ( SUM ( andinalog_wms_orders_silver[cantidad_entregada] ), ALLEXCEPT ( andinalog_wms_orders_silver, andinalog_wms_orders_silver[lote_id] ) )</w:t>
      </w:r>
    </w:p>
    <w:p>
      <w:pPr>
        <w:spacing w:after="0"/>
        <w:ind w:left="170"/>
        <w:shd w:val="clear" w:color="auto" w:fill="F2F5F3"/>
      </w:pPr>
      <w:r>
        <w:rPr>
          <w:rFonts w:ascii="Consolas" w:hAnsi="Consolas" w:eastAsia="Consolas"/>
          <w:sz w:val="16"/>
        </w:rPr>
        <w:t>RETURN DIVIDE ( andinalog_wms_orders_silver[cantidad_entregada], total_lote ) * andinalog_wms_orders_silver[Merma Lote (Bs)]</w:t>
      </w:r>
    </w:p>
    <w:p>
      <w:pPr>
        <w:spacing w:after="0"/>
        <w:ind w:left="170"/>
        <w:shd w:val="clear" w:color="auto" w:fill="F2F5F3"/>
      </w:pPr>
      <w:r>
        <w:rPr>
          <w:rFonts w:ascii="Consolas" w:hAnsi="Consolas" w:eastAsia="Consolas"/>
          <w:sz w:val="16"/>
        </w:rPr>
        <w:t xml:space="preserve"> </w:t>
      </w:r>
    </w:p>
    <w:p>
      <w:pPr>
        <w:spacing w:after="0"/>
        <w:ind w:left="170"/>
        <w:shd w:val="clear" w:color="auto" w:fill="F2F5F3"/>
      </w:pPr>
      <w:r>
        <w:rPr>
          <w:rFonts w:ascii="Consolas" w:hAnsi="Consolas" w:eastAsia="Consolas"/>
          <w:sz w:val="16"/>
        </w:rPr>
        <w:t>-- Medidas</w:t>
      </w:r>
    </w:p>
    <w:p>
      <w:pPr>
        <w:spacing w:after="0"/>
        <w:ind w:left="170"/>
        <w:shd w:val="clear" w:color="auto" w:fill="F2F5F3"/>
      </w:pPr>
      <w:r>
        <w:rPr>
          <w:rFonts w:ascii="Consolas" w:hAnsi="Consolas" w:eastAsia="Consolas"/>
          <w:sz w:val="16"/>
        </w:rPr>
        <w:t>Ingreso Bruto (Bs) = SUM ( andinalog_commercial_margins_silver[ingreso_bruto_bob] )</w:t>
      </w:r>
    </w:p>
    <w:p>
      <w:pPr>
        <w:spacing w:after="0"/>
        <w:ind w:left="170"/>
        <w:shd w:val="clear" w:color="auto" w:fill="F2F5F3"/>
      </w:pPr>
      <w:r>
        <w:rPr>
          <w:rFonts w:ascii="Consolas" w:hAnsi="Consolas" w:eastAsia="Consolas"/>
          <w:sz w:val="16"/>
        </w:rPr>
        <w:t>Costo Ventas (Bs) = SUM ( andinalog_commercial_margins_silver[costo_ventas_bob] )</w:t>
      </w:r>
    </w:p>
    <w:p>
      <w:pPr>
        <w:spacing w:after="0"/>
        <w:ind w:left="170"/>
        <w:shd w:val="clear" w:color="auto" w:fill="F2F5F3"/>
      </w:pPr>
      <w:r>
        <w:rPr>
          <w:rFonts w:ascii="Consolas" w:hAnsi="Consolas" w:eastAsia="Consolas"/>
          <w:sz w:val="16"/>
        </w:rPr>
        <w:t>CAC (Bs) = SUM ( andinalog_commercial_margins_silver[cac_bob] )</w:t>
      </w:r>
    </w:p>
    <w:p>
      <w:pPr>
        <w:spacing w:after="0"/>
        <w:ind w:left="170"/>
        <w:shd w:val="clear" w:color="auto" w:fill="F2F5F3"/>
      </w:pPr>
      <w:r>
        <w:rPr>
          <w:rFonts w:ascii="Consolas" w:hAnsi="Consolas" w:eastAsia="Consolas"/>
          <w:sz w:val="16"/>
        </w:rPr>
        <w:t>Costo Devolución (Bs) = SUM ( andinalog_client_satisfaction_silver[costo_devolucion_bob] )</w:t>
      </w:r>
    </w:p>
    <w:p>
      <w:pPr>
        <w:spacing w:after="0"/>
        <w:ind w:left="170"/>
        <w:shd w:val="clear" w:color="auto" w:fill="F2F5F3"/>
      </w:pPr>
      <w:r>
        <w:rPr>
          <w:rFonts w:ascii="Consolas" w:hAnsi="Consolas" w:eastAsia="Consolas"/>
          <w:sz w:val="16"/>
        </w:rPr>
        <w:t>Merma (Bs) = SUM ( andinalog_wms_orders_silver[Merma Asignada (Bs)] )</w:t>
      </w:r>
    </w:p>
    <w:p>
      <w:pPr>
        <w:spacing w:after="0"/>
        <w:ind w:left="170"/>
        <w:shd w:val="clear" w:color="auto" w:fill="F2F5F3"/>
      </w:pPr>
      <w:r>
        <w:rPr>
          <w:rFonts w:ascii="Consolas" w:hAnsi="Consolas" w:eastAsia="Consolas"/>
          <w:sz w:val="16"/>
        </w:rPr>
        <w:t>Margen Ajustado (Bs) = [Ingreso Bruto (Bs)] - [Costo Ventas (Bs)] - [Costo Devolución (Bs)] - [CAC (Bs)] - [Merma (Bs)]</w:t>
      </w:r>
    </w:p>
    <w:p>
      <w:pPr>
        <w:spacing w:after="0"/>
        <w:ind w:left="170"/>
        <w:shd w:val="clear" w:color="auto" w:fill="F2F5F3"/>
      </w:pPr>
      <w:r>
        <w:rPr>
          <w:rFonts w:ascii="Consolas" w:hAnsi="Consolas" w:eastAsia="Consolas"/>
          <w:sz w:val="16"/>
        </w:rPr>
        <w:t>Margen Ajustado % = DIVIDE ( [Margen Ajustado (Bs)], [Ingreso Bruto (Bs)]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Ingreso bruto · costo de ventas</w:t>
            </w:r>
          </w:p>
        </w:tc>
        <w:tc>
          <w:tcPr>
            <w:tcW w:type="dxa" w:w="4535"/>
          </w:tcPr>
          <w:p>
            <w:r/>
            <w:r>
              <w:rPr>
                <w:b/>
                <w:sz w:val="17"/>
              </w:rPr>
              <w:t>Bs 608.729.689,09 · Bs 446.032.142,72</w:t>
            </w:r>
          </w:p>
        </w:tc>
      </w:tr>
      <w:tr>
        <w:trPr>
          <w:cantSplit/>
        </w:trPr>
        <w:tc>
          <w:tcPr>
            <w:tcW w:type="dxa" w:w="5102"/>
          </w:tcPr>
          <w:p>
            <w:r/>
            <w:r>
              <w:rPr>
                <w:sz w:val="17"/>
              </w:rPr>
              <w:t>Devoluciones · CAC</w:t>
            </w:r>
          </w:p>
        </w:tc>
        <w:tc>
          <w:tcPr>
            <w:tcW w:type="dxa" w:w="4535"/>
          </w:tcPr>
          <w:p>
            <w:r/>
            <w:r>
              <w:rPr>
                <w:b/>
                <w:sz w:val="17"/>
              </w:rPr>
              <w:t>Bs 3.467.438,99 · Bs 3.485.975,96</w:t>
            </w:r>
          </w:p>
        </w:tc>
      </w:tr>
      <w:tr>
        <w:trPr>
          <w:cantSplit/>
        </w:trPr>
        <w:tc>
          <w:tcPr>
            <w:tcW w:type="dxa" w:w="5102"/>
          </w:tcPr>
          <w:p>
            <w:r/>
            <w:r>
              <w:rPr>
                <w:sz w:val="17"/>
              </w:rPr>
              <w:t>Merma de los 7.782 lotes (asignada completa a órdenes)</w:t>
            </w:r>
          </w:p>
        </w:tc>
        <w:tc>
          <w:tcPr>
            <w:tcW w:type="dxa" w:w="4535"/>
          </w:tcPr>
          <w:p>
            <w:r/>
            <w:r>
              <w:rPr>
                <w:b/>
                <w:sz w:val="17"/>
              </w:rPr>
              <w:t>Bs 35.574.924,68</w:t>
            </w:r>
          </w:p>
        </w:tc>
      </w:tr>
      <w:tr>
        <w:trPr>
          <w:cantSplit/>
        </w:trPr>
        <w:tc>
          <w:tcPr>
            <w:tcW w:type="dxa" w:w="5102"/>
          </w:tcPr>
          <w:p>
            <w:r/>
            <w:r>
              <w:rPr>
                <w:sz w:val="17"/>
              </w:rPr>
              <w:t>Margen ajustado</w:t>
            </w:r>
          </w:p>
        </w:tc>
        <w:tc>
          <w:tcPr>
            <w:tcW w:type="dxa" w:w="4535"/>
          </w:tcPr>
          <w:p>
            <w:r/>
            <w:r>
              <w:rPr>
                <w:b/>
                <w:sz w:val="17"/>
              </w:rPr>
              <w:t>Bs 120.169.206,74 (19,74 %)</w:t>
            </w:r>
          </w:p>
        </w:tc>
      </w:tr>
      <w:tr>
        <w:trPr>
          <w:cantSplit/>
        </w:trPr>
        <w:tc>
          <w:tcPr>
            <w:tcW w:type="dxa" w:w="5102"/>
          </w:tcPr>
          <w:p>
            <w:r/>
            <w:r>
              <w:rPr>
                <w:sz w:val="17"/>
              </w:rPr>
              <w:t>Clientes con margen ajustado negativo</w:t>
            </w:r>
          </w:p>
        </w:tc>
        <w:tc>
          <w:tcPr>
            <w:tcW w:type="dxa" w:w="4535"/>
          </w:tcPr>
          <w:p>
            <w:r/>
            <w:r>
              <w:rPr>
                <w:b/>
                <w:sz w:val="17"/>
              </w:rPr>
              <w:t>0</w:t>
            </w:r>
          </w:p>
        </w:tc>
      </w:tr>
    </w:tbl>
    <w:p>
      <w:pPr>
        <w:spacing w:after="40"/>
      </w:pPr>
    </w:p>
    <w:p>
      <w:pPr>
        <w:spacing w:after="120"/>
      </w:pPr>
      <w:r>
        <w:rPr>
          <w:b/>
          <w:color w:val="B04A1A"/>
        </w:rPr>
        <w:t xml:space="preserve">Riesgo a vigilar: </w:t>
      </w:r>
      <w:r>
        <w:rPr>
          <w:b w:val="0"/>
        </w:rPr>
        <w:t>Si la merma se suma por orden sin repartirla, cada lote se cuenta 3,86 veces en promedio. Compruebe que la suma de Merma Asignada sea igual a la merma total de los lotes. Si filtra por fecha, el ingreso y el costo de ventas no cambian (no tienen fecha) y el margen ajustado del periodo sale falso.</w:t>
      </w:r>
    </w:p>
    <w:p>
      <w:pPr>
        <w:pStyle w:val="Heading3"/>
      </w:pPr>
      <w:r>
        <w:t>Evidencia 3. Productos y clientes donde el incumplimiento de la promesa tiene mayor impacto.</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andinalog_wms_orders_silver</w:t>
            </w:r>
          </w:p>
        </w:tc>
        <w:tc>
          <w:tcPr>
            <w:tcW w:type="dxa" w:w="6520"/>
          </w:tcPr>
          <w:p>
            <w:r/>
            <w:r>
              <w:rPr>
                <w:sz w:val="17"/>
              </w:rPr>
              <w:t>cliente_id, producto_id, otif</w:t>
            </w:r>
          </w:p>
        </w:tc>
      </w:tr>
      <w:tr>
        <w:trPr>
          <w:cantSplit/>
        </w:trPr>
        <w:tc>
          <w:tcPr>
            <w:tcW w:type="dxa" w:w="3118"/>
          </w:tcPr>
          <w:p>
            <w:r/>
            <w:r>
              <w:rPr>
                <w:sz w:val="17"/>
              </w:rPr>
              <w:t>andinalog_commercial_margins_silver</w:t>
            </w:r>
          </w:p>
        </w:tc>
        <w:tc>
          <w:tcPr>
            <w:tcW w:type="dxa" w:w="6520"/>
          </w:tcPr>
          <w:p>
            <w:r/>
            <w:r>
              <w:rPr>
                <w:sz w:val="17"/>
              </w:rPr>
              <w:t>ingreso_bruto_bob</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Reutilizar las relaciones de la evidencia 1.</w:t>
      </w:r>
    </w:p>
    <w:p>
      <w:pPr>
        <w:pStyle w:val="ListParagraph"/>
        <w:spacing w:after="40"/>
      </w:pPr>
      <w:r>
        <w:rPr>
          <w:b/>
        </w:rPr>
        <w:t xml:space="preserve">2. </w:t>
      </w:r>
      <w:r>
        <w:rPr>
          <w:b w:val="0"/>
        </w:rPr>
        <w:t>Mostrar siempre N Órdenes junto a la exposición.</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Incumplimiento % = 1 - [OTIF]</w:t>
      </w:r>
    </w:p>
    <w:p>
      <w:pPr>
        <w:spacing w:after="0"/>
        <w:ind w:left="170"/>
        <w:shd w:val="clear" w:color="auto" w:fill="F2F5F3"/>
      </w:pPr>
      <w:r>
        <w:rPr>
          <w:rFonts w:ascii="Consolas" w:hAnsi="Consolas" w:eastAsia="Consolas"/>
          <w:sz w:val="16"/>
        </w:rPr>
        <w:t>Exposición (Bs) = [Incumplimiento %] * [Ingreso Bruto (Bs)]</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Clientes con mayor exposición</w:t>
            </w:r>
          </w:p>
        </w:tc>
        <w:tc>
          <w:tcPr>
            <w:tcW w:type="dxa" w:w="4535"/>
          </w:tcPr>
          <w:p>
            <w:r/>
            <w:r>
              <w:rPr>
                <w:b/>
                <w:sz w:val="17"/>
              </w:rPr>
              <w:t>CLI-L-0214 600.005 (85 órdenes) · CLI-L-0053 581.144 (90) · CLI-L-0045 554.074 (80)</w:t>
            </w:r>
          </w:p>
        </w:tc>
      </w:tr>
      <w:tr>
        <w:trPr>
          <w:cantSplit/>
        </w:trPr>
        <w:tc>
          <w:tcPr>
            <w:tcW w:type="dxa" w:w="5102"/>
          </w:tcPr>
          <w:p>
            <w:r/>
            <w:r>
              <w:rPr>
                <w:sz w:val="17"/>
              </w:rPr>
              <w:t>Órdenes por cliente</w:t>
            </w:r>
          </w:p>
        </w:tc>
        <w:tc>
          <w:tcPr>
            <w:tcW w:type="dxa" w:w="4535"/>
          </w:tcPr>
          <w:p>
            <w:r/>
            <w:r>
              <w:rPr>
                <w:b/>
                <w:sz w:val="17"/>
              </w:rPr>
              <w:t>de 52 a 97</w:t>
            </w:r>
          </w:p>
        </w:tc>
      </w:tr>
    </w:tbl>
    <w:p>
      <w:pPr>
        <w:spacing w:after="40"/>
      </w:pPr>
    </w:p>
    <w:p>
      <w:pPr>
        <w:spacing w:after="120"/>
      </w:pPr>
      <w:r>
        <w:rPr>
          <w:b/>
          <w:color w:val="B04A1A"/>
        </w:rPr>
        <w:t xml:space="preserve">Riesgo a vigilar: </w:t>
      </w:r>
      <w:r>
        <w:rPr>
          <w:b w:val="0"/>
        </w:rPr>
        <w:t>La exposición multiplica un porcentaje de órdenes por un ingreso acumulado sin periodo: úsela para ordenar prioridades, no como pérdida en bolivianos.</w:t>
      </w:r>
    </w:p>
    <w:p>
      <w:r>
        <w:br w:type="page"/>
      </w:r>
    </w:p>
    <w:p>
      <w:pPr>
        <w:pStyle w:val="Heading1"/>
      </w:pPr>
      <w:r>
        <w:t>Subcaso 03B — Operaciones y Planificación de Datos</w:t>
      </w:r>
    </w:p>
    <w:p>
      <w:r>
        <w:rPr>
          <w:b/>
        </w:rPr>
        <w:t xml:space="preserve">Caso 03 — AndinaLog  ·  Mandato: </w:t>
      </w:r>
      <w:r>
        <w:t>Proteger la cadena de frío, mejorar la rotación del inventario y anticipar desviaciones térmicas durante el transporte.</w:t>
      </w:r>
    </w:p>
    <w:p>
      <w:r>
        <w:rPr>
          <w:b/>
        </w:rPr>
        <w:t xml:space="preserve">Cruce: </w:t>
      </w:r>
      <w:r>
        <w:t>Productos → inventario y telemetría; camiones → viajes y eventos; órdenes → viajes; centros → stock, costos y flota.</w:t>
      </w:r>
    </w:p>
    <w:p>
      <w:pPr>
        <w:pStyle w:val="Heading2"/>
      </w:pPr>
      <w:r>
        <w:t>Tablas y su rol en el modelo de datos</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608"/>
        <w:gridCol w:w="1701"/>
        <w:gridCol w:w="2608"/>
        <w:gridCol w:w="2721"/>
      </w:tblGrid>
      <w:tr>
        <w:trPr>
          <w:cantSplit/>
          <w:tblHeader/>
        </w:trPr>
        <w:tc>
          <w:tcPr>
            <w:tcW w:type="dxa" w:w="2608"/>
            <w:shd w:val="clear" w:color="auto" w:fill="DCEEE2"/>
          </w:tcPr>
          <w:p>
            <w:r/>
            <w:r>
              <w:rPr>
                <w:b/>
                <w:color w:val="20603D"/>
                <w:sz w:val="17"/>
              </w:rPr>
              <w:t>Tabla</w:t>
            </w:r>
          </w:p>
        </w:tc>
        <w:tc>
          <w:tcPr>
            <w:tcW w:type="dxa" w:w="1701"/>
            <w:shd w:val="clear" w:color="auto" w:fill="DCEEE2"/>
          </w:tcPr>
          <w:p>
            <w:r/>
            <w:r>
              <w:rPr>
                <w:b/>
                <w:color w:val="20603D"/>
                <w:sz w:val="17"/>
              </w:rPr>
              <w:t>Grano (filas)</w:t>
            </w:r>
          </w:p>
        </w:tc>
        <w:tc>
          <w:tcPr>
            <w:tcW w:type="dxa" w:w="2608"/>
            <w:shd w:val="clear" w:color="auto" w:fill="DCEEE2"/>
          </w:tcPr>
          <w:p>
            <w:r/>
            <w:r>
              <w:rPr>
                <w:b/>
                <w:color w:val="20603D"/>
                <w:sz w:val="17"/>
              </w:rPr>
              <w:t>Rol</w:t>
            </w:r>
          </w:p>
        </w:tc>
        <w:tc>
          <w:tcPr>
            <w:tcW w:type="dxa" w:w="2721"/>
            <w:shd w:val="clear" w:color="auto" w:fill="DCEEE2"/>
          </w:tcPr>
          <w:p>
            <w:r/>
            <w:r>
              <w:rPr>
                <w:b/>
                <w:color w:val="20603D"/>
                <w:sz w:val="17"/>
              </w:rPr>
              <w:t>Claves</w:t>
            </w:r>
          </w:p>
        </w:tc>
      </w:tr>
      <w:tr>
        <w:trPr>
          <w:cantSplit/>
        </w:trPr>
        <w:tc>
          <w:tcPr>
            <w:tcW w:type="dxa" w:w="2608"/>
          </w:tcPr>
          <w:p>
            <w:r/>
            <w:r>
              <w:rPr>
                <w:sz w:val="17"/>
              </w:rPr>
              <w:t>andinalog_iot_telemetry_silver</w:t>
            </w:r>
          </w:p>
        </w:tc>
        <w:tc>
          <w:tcPr>
            <w:tcW w:type="dxa" w:w="1701"/>
          </w:tcPr>
          <w:p>
            <w:r/>
            <w:r>
              <w:rPr>
                <w:sz w:val="17"/>
              </w:rPr>
              <w:t>1 lectura cada 30 min (191.710; 8.000 viajes)</w:t>
            </w:r>
          </w:p>
        </w:tc>
        <w:tc>
          <w:tcPr>
            <w:tcW w:type="dxa" w:w="2608"/>
          </w:tcPr>
          <w:p>
            <w:r/>
            <w:r>
              <w:rPr>
                <w:sz w:val="17"/>
              </w:rPr>
              <w:t>Hecho / serie de tiempo</w:t>
            </w:r>
          </w:p>
        </w:tc>
        <w:tc>
          <w:tcPr>
            <w:tcW w:type="dxa" w:w="2721"/>
          </w:tcPr>
          <w:p>
            <w:r/>
            <w:r>
              <w:rPr>
                <w:sz w:val="17"/>
              </w:rPr>
              <w:t>viaje_id (degenerada), producto_id, camion_id</w:t>
            </w:r>
          </w:p>
        </w:tc>
      </w:tr>
      <w:tr>
        <w:trPr>
          <w:cantSplit/>
        </w:trPr>
        <w:tc>
          <w:tcPr>
            <w:tcW w:type="dxa" w:w="2608"/>
          </w:tcPr>
          <w:p>
            <w:r/>
            <w:r>
              <w:rPr>
                <w:sz w:val="17"/>
              </w:rPr>
              <w:t>andinalog_productos_silver</w:t>
            </w:r>
          </w:p>
        </w:tc>
        <w:tc>
          <w:tcPr>
            <w:tcW w:type="dxa" w:w="1701"/>
          </w:tcPr>
          <w:p>
            <w:r/>
            <w:r>
              <w:rPr>
                <w:sz w:val="17"/>
              </w:rPr>
              <w:t>1 producto (120)</w:t>
            </w:r>
          </w:p>
        </w:tc>
        <w:tc>
          <w:tcPr>
            <w:tcW w:type="dxa" w:w="2608"/>
          </w:tcPr>
          <w:p>
            <w:r/>
            <w:r>
              <w:rPr>
                <w:sz w:val="17"/>
              </w:rPr>
              <w:t>Dimensión</w:t>
            </w:r>
          </w:p>
        </w:tc>
        <w:tc>
          <w:tcPr>
            <w:tcW w:type="dxa" w:w="2721"/>
          </w:tcPr>
          <w:p>
            <w:r/>
            <w:r>
              <w:rPr>
                <w:sz w:val="17"/>
              </w:rPr>
              <w:t>producto_id (PK)</w:t>
            </w:r>
          </w:p>
        </w:tc>
      </w:tr>
      <w:tr>
        <w:trPr>
          <w:cantSplit/>
        </w:trPr>
        <w:tc>
          <w:tcPr>
            <w:tcW w:type="dxa" w:w="2608"/>
          </w:tcPr>
          <w:p>
            <w:r/>
            <w:r>
              <w:rPr>
                <w:sz w:val="17"/>
              </w:rPr>
              <w:t>andinalog_flota_silver</w:t>
            </w:r>
          </w:p>
        </w:tc>
        <w:tc>
          <w:tcPr>
            <w:tcW w:type="dxa" w:w="1701"/>
          </w:tcPr>
          <w:p>
            <w:r/>
            <w:r>
              <w:rPr>
                <w:sz w:val="17"/>
              </w:rPr>
              <w:t>1 camión (100)</w:t>
            </w:r>
          </w:p>
        </w:tc>
        <w:tc>
          <w:tcPr>
            <w:tcW w:type="dxa" w:w="2608"/>
          </w:tcPr>
          <w:p>
            <w:r/>
            <w:r>
              <w:rPr>
                <w:sz w:val="17"/>
              </w:rPr>
              <w:t>Dimensión</w:t>
            </w:r>
          </w:p>
        </w:tc>
        <w:tc>
          <w:tcPr>
            <w:tcW w:type="dxa" w:w="2721"/>
          </w:tcPr>
          <w:p>
            <w:r/>
            <w:r>
              <w:rPr>
                <w:sz w:val="17"/>
              </w:rPr>
              <w:t>camion_id (PK)</w:t>
            </w:r>
          </w:p>
        </w:tc>
      </w:tr>
      <w:tr>
        <w:trPr>
          <w:cantSplit/>
        </w:trPr>
        <w:tc>
          <w:tcPr>
            <w:tcW w:type="dxa" w:w="2608"/>
          </w:tcPr>
          <w:p>
            <w:r/>
            <w:r>
              <w:rPr>
                <w:sz w:val="17"/>
              </w:rPr>
              <w:t>andinalog_inventory_tracking_silver</w:t>
            </w:r>
          </w:p>
        </w:tc>
        <w:tc>
          <w:tcPr>
            <w:tcW w:type="dxa" w:w="1701"/>
          </w:tcPr>
          <w:p>
            <w:r/>
            <w:r>
              <w:rPr>
                <w:sz w:val="17"/>
              </w:rPr>
              <w:t>1 lote (7.782)</w:t>
            </w:r>
          </w:p>
        </w:tc>
        <w:tc>
          <w:tcPr>
            <w:tcW w:type="dxa" w:w="2608"/>
          </w:tcPr>
          <w:p>
            <w:r/>
            <w:r>
              <w:rPr>
                <w:sz w:val="17"/>
              </w:rPr>
              <w:t>Hecho</w:t>
            </w:r>
          </w:p>
        </w:tc>
        <w:tc>
          <w:tcPr>
            <w:tcW w:type="dxa" w:w="2721"/>
          </w:tcPr>
          <w:p>
            <w:r/>
            <w:r>
              <w:rPr>
                <w:sz w:val="17"/>
              </w:rPr>
              <w:t>producto_id, centro_distribucion</w:t>
            </w:r>
          </w:p>
        </w:tc>
      </w:tr>
      <w:tr>
        <w:trPr>
          <w:cantSplit/>
        </w:trPr>
        <w:tc>
          <w:tcPr>
            <w:tcW w:type="dxa" w:w="2608"/>
          </w:tcPr>
          <w:p>
            <w:r/>
            <w:r>
              <w:rPr>
                <w:sz w:val="17"/>
              </w:rPr>
              <w:t>dim_centro (Power Query)</w:t>
            </w:r>
          </w:p>
        </w:tc>
        <w:tc>
          <w:tcPr>
            <w:tcW w:type="dxa" w:w="1701"/>
          </w:tcPr>
          <w:p>
            <w:r/>
            <w:r>
              <w:rPr>
                <w:sz w:val="17"/>
              </w:rPr>
              <w:t>1 centro (6)</w:t>
            </w:r>
          </w:p>
        </w:tc>
        <w:tc>
          <w:tcPr>
            <w:tcW w:type="dxa" w:w="2608"/>
          </w:tcPr>
          <w:p>
            <w:r/>
            <w:r>
              <w:rPr>
                <w:sz w:val="17"/>
              </w:rPr>
              <w:t>Dimensión conformada</w:t>
            </w:r>
          </w:p>
        </w:tc>
        <w:tc>
          <w:tcPr>
            <w:tcW w:type="dxa" w:w="2721"/>
          </w:tcPr>
          <w:p>
            <w:r/>
            <w:r>
              <w:rPr>
                <w:sz w:val="17"/>
              </w:rPr>
              <w:t>centro (PK)</w:t>
            </w:r>
          </w:p>
        </w:tc>
      </w:tr>
      <w:tr>
        <w:trPr>
          <w:cantSplit/>
        </w:trPr>
        <w:tc>
          <w:tcPr>
            <w:tcW w:type="dxa" w:w="2608"/>
          </w:tcPr>
          <w:p>
            <w:r/>
            <w:r>
              <w:rPr>
                <w:sz w:val="17"/>
              </w:rPr>
              <w:t>dim_fecha (DAX)</w:t>
            </w:r>
          </w:p>
        </w:tc>
        <w:tc>
          <w:tcPr>
            <w:tcW w:type="dxa" w:w="1701"/>
          </w:tcPr>
          <w:p>
            <w:r/>
            <w:r>
              <w:rPr>
                <w:sz w:val="17"/>
              </w:rPr>
              <w:t>1 día, 2023–2026</w:t>
            </w:r>
          </w:p>
        </w:tc>
        <w:tc>
          <w:tcPr>
            <w:tcW w:type="dxa" w:w="2608"/>
          </w:tcPr>
          <w:p>
            <w:r/>
            <w:r>
              <w:rPr>
                <w:sz w:val="17"/>
              </w:rPr>
              <w:t>Dimensión de fecha</w:t>
            </w:r>
          </w:p>
        </w:tc>
        <w:tc>
          <w:tcPr>
            <w:tcW w:type="dxa" w:w="2721"/>
          </w:tcPr>
          <w:p>
            <w:r/>
            <w:r>
              <w:rPr>
                <w:sz w:val="17"/>
              </w:rPr>
              <w:t>fecha (PK)</w:t>
            </w:r>
          </w:p>
        </w:tc>
      </w:tr>
    </w:tbl>
    <w:p>
      <w:pPr>
        <w:spacing w:after="40"/>
      </w:pPr>
    </w:p>
    <w:p>
      <w:pPr>
        <w:pStyle w:val="Heading2"/>
      </w:pPr>
      <w:r>
        <w:t>Relaciones a crear en el modelo</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494"/>
        <w:gridCol w:w="793"/>
        <w:gridCol w:w="2494"/>
        <w:gridCol w:w="3855"/>
      </w:tblGrid>
      <w:tr>
        <w:trPr>
          <w:cantSplit/>
          <w:tblHeader/>
        </w:trPr>
        <w:tc>
          <w:tcPr>
            <w:tcW w:type="dxa" w:w="2494"/>
            <w:shd w:val="clear" w:color="auto" w:fill="DCEEE2"/>
          </w:tcPr>
          <w:p>
            <w:r/>
            <w:r>
              <w:rPr>
                <w:b/>
                <w:color w:val="20603D"/>
                <w:sz w:val="17"/>
              </w:rPr>
              <w:t>Lado 1</w:t>
            </w:r>
          </w:p>
        </w:tc>
        <w:tc>
          <w:tcPr>
            <w:tcW w:type="dxa" w:w="794"/>
            <w:shd w:val="clear" w:color="auto" w:fill="DCEEE2"/>
          </w:tcPr>
          <w:p>
            <w:r/>
            <w:r>
              <w:rPr>
                <w:b/>
                <w:color w:val="20603D"/>
                <w:sz w:val="17"/>
              </w:rPr>
              <w:t>Card.</w:t>
            </w:r>
          </w:p>
        </w:tc>
        <w:tc>
          <w:tcPr>
            <w:tcW w:type="dxa" w:w="2494"/>
            <w:shd w:val="clear" w:color="auto" w:fill="DCEEE2"/>
          </w:tcPr>
          <w:p>
            <w:r/>
            <w:r>
              <w:rPr>
                <w:b/>
                <w:color w:val="20603D"/>
                <w:sz w:val="17"/>
              </w:rPr>
              <w:t>Lado N</w:t>
            </w:r>
          </w:p>
        </w:tc>
        <w:tc>
          <w:tcPr>
            <w:tcW w:type="dxa" w:w="3855"/>
            <w:shd w:val="clear" w:color="auto" w:fill="DCEEE2"/>
          </w:tcPr>
          <w:p>
            <w:r/>
            <w:r>
              <w:rPr>
                <w:b/>
                <w:color w:val="20603D"/>
                <w:sz w:val="17"/>
              </w:rPr>
              <w:t>Dirección / nota</w:t>
            </w:r>
          </w:p>
        </w:tc>
      </w:tr>
      <w:tr>
        <w:trPr>
          <w:cantSplit/>
        </w:trPr>
        <w:tc>
          <w:tcPr>
            <w:tcW w:type="dxa" w:w="2494"/>
          </w:tcPr>
          <w:p>
            <w:r/>
            <w:r>
              <w:rPr>
                <w:sz w:val="17"/>
              </w:rPr>
              <w:t>andinalog_productos_silver</w:t>
            </w:r>
          </w:p>
        </w:tc>
        <w:tc>
          <w:tcPr>
            <w:tcW w:type="dxa" w:w="794"/>
          </w:tcPr>
          <w:p>
            <w:r/>
            <w:r>
              <w:rPr>
                <w:sz w:val="17"/>
              </w:rPr>
              <w:t>1 : N</w:t>
            </w:r>
          </w:p>
        </w:tc>
        <w:tc>
          <w:tcPr>
            <w:tcW w:type="dxa" w:w="2494"/>
          </w:tcPr>
          <w:p>
            <w:r/>
            <w:r>
              <w:rPr>
                <w:sz w:val="17"/>
              </w:rPr>
              <w:t>iot_telemetry / inventory_tracking</w:t>
            </w:r>
          </w:p>
        </w:tc>
        <w:tc>
          <w:tcPr>
            <w:tcW w:type="dxa" w:w="3855"/>
          </w:tcPr>
          <w:p>
            <w:r/>
            <w:r>
              <w:rPr>
                <w:sz w:val="17"/>
              </w:rPr>
              <w:t>Única</w:t>
            </w:r>
          </w:p>
        </w:tc>
      </w:tr>
      <w:tr>
        <w:trPr>
          <w:cantSplit/>
        </w:trPr>
        <w:tc>
          <w:tcPr>
            <w:tcW w:type="dxa" w:w="2494"/>
          </w:tcPr>
          <w:p>
            <w:r/>
            <w:r>
              <w:rPr>
                <w:sz w:val="17"/>
              </w:rPr>
              <w:t>andinalog_flota_silver</w:t>
            </w:r>
          </w:p>
        </w:tc>
        <w:tc>
          <w:tcPr>
            <w:tcW w:type="dxa" w:w="794"/>
          </w:tcPr>
          <w:p>
            <w:r/>
            <w:r>
              <w:rPr>
                <w:sz w:val="17"/>
              </w:rPr>
              <w:t>1 : N</w:t>
            </w:r>
          </w:p>
        </w:tc>
        <w:tc>
          <w:tcPr>
            <w:tcW w:type="dxa" w:w="2494"/>
          </w:tcPr>
          <w:p>
            <w:r/>
            <w:r>
              <w:rPr>
                <w:sz w:val="17"/>
              </w:rPr>
              <w:t>andinalog_iot_telemetry_silver</w:t>
            </w:r>
          </w:p>
        </w:tc>
        <w:tc>
          <w:tcPr>
            <w:tcW w:type="dxa" w:w="3855"/>
          </w:tcPr>
          <w:p>
            <w:r/>
            <w:r>
              <w:rPr>
                <w:sz w:val="17"/>
              </w:rPr>
              <w:t>Única</w:t>
            </w:r>
          </w:p>
        </w:tc>
      </w:tr>
      <w:tr>
        <w:trPr>
          <w:cantSplit/>
        </w:trPr>
        <w:tc>
          <w:tcPr>
            <w:tcW w:type="dxa" w:w="2494"/>
          </w:tcPr>
          <w:p>
            <w:r/>
            <w:r>
              <w:rPr>
                <w:sz w:val="17"/>
              </w:rPr>
              <w:t>dim_centro</w:t>
            </w:r>
          </w:p>
        </w:tc>
        <w:tc>
          <w:tcPr>
            <w:tcW w:type="dxa" w:w="794"/>
          </w:tcPr>
          <w:p>
            <w:r/>
            <w:r>
              <w:rPr>
                <w:sz w:val="17"/>
              </w:rPr>
              <w:t>1 : N</w:t>
            </w:r>
          </w:p>
        </w:tc>
        <w:tc>
          <w:tcPr>
            <w:tcW w:type="dxa" w:w="2494"/>
          </w:tcPr>
          <w:p>
            <w:r/>
            <w:r>
              <w:rPr>
                <w:sz w:val="17"/>
              </w:rPr>
              <w:t>inventory_tracking / warehouse_costs / flota[centro_distribucion_base]</w:t>
            </w:r>
          </w:p>
        </w:tc>
        <w:tc>
          <w:tcPr>
            <w:tcW w:type="dxa" w:w="3855"/>
          </w:tcPr>
          <w:p>
            <w:r/>
            <w:r>
              <w:rPr>
                <w:sz w:val="17"/>
              </w:rPr>
              <w:t>Única</w:t>
            </w:r>
          </w:p>
        </w:tc>
      </w:tr>
      <w:tr>
        <w:trPr>
          <w:cantSplit/>
        </w:trPr>
        <w:tc>
          <w:tcPr>
            <w:tcW w:type="dxa" w:w="2494"/>
          </w:tcPr>
          <w:p>
            <w:r/>
            <w:r>
              <w:rPr>
                <w:sz w:val="17"/>
              </w:rPr>
              <w:t>dim_fecha</w:t>
            </w:r>
          </w:p>
        </w:tc>
        <w:tc>
          <w:tcPr>
            <w:tcW w:type="dxa" w:w="794"/>
          </w:tcPr>
          <w:p>
            <w:r/>
            <w:r>
              <w:rPr>
                <w:sz w:val="17"/>
              </w:rPr>
              <w:t>1 : N</w:t>
            </w:r>
          </w:p>
        </w:tc>
        <w:tc>
          <w:tcPr>
            <w:tcW w:type="dxa" w:w="2494"/>
          </w:tcPr>
          <w:p>
            <w:r/>
            <w:r>
              <w:rPr>
                <w:sz w:val="17"/>
              </w:rPr>
              <w:t>iot_telemetry[fecha] (de timestamp) / inventory_tracking[fecha] (de fecha_ingreso)</w:t>
            </w:r>
          </w:p>
        </w:tc>
        <w:tc>
          <w:tcPr>
            <w:tcW w:type="dxa" w:w="3855"/>
          </w:tcPr>
          <w:p>
            <w:r/>
            <w:r>
              <w:rPr>
                <w:sz w:val="17"/>
              </w:rPr>
              <w:t>Única</w:t>
            </w:r>
          </w:p>
        </w:tc>
      </w:tr>
    </w:tbl>
    <w:p>
      <w:pPr>
        <w:spacing w:after="40"/>
      </w:pPr>
    </w:p>
    <w:p>
      <w:pPr>
        <w:pStyle w:val="Heading2"/>
      </w:pPr>
      <w:r>
        <w:t>Evidencias que el equipo debe producir</w:t>
      </w:r>
    </w:p>
    <w:p>
      <w:pPr>
        <w:pStyle w:val="Heading3"/>
      </w:pPr>
      <w:r>
        <w:t>Evidencia 1. Excursiones térmicas por producto, viaje, camión y categoría logística.</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andinalog_iot_telemetry_silver</w:t>
            </w:r>
          </w:p>
        </w:tc>
        <w:tc>
          <w:tcPr>
            <w:tcW w:type="dxa" w:w="6520"/>
          </w:tcPr>
          <w:p>
            <w:r/>
            <w:r>
              <w:rPr>
                <w:sz w:val="17"/>
              </w:rPr>
              <w:t>viaje_id, camion_id, producto_id, desviacion_termica_flag</w:t>
            </w:r>
          </w:p>
        </w:tc>
      </w:tr>
      <w:tr>
        <w:trPr>
          <w:cantSplit/>
        </w:trPr>
        <w:tc>
          <w:tcPr>
            <w:tcW w:type="dxa" w:w="3118"/>
          </w:tcPr>
          <w:p>
            <w:r/>
            <w:r>
              <w:rPr>
                <w:sz w:val="17"/>
              </w:rPr>
              <w:t>andinalog_productos_silver</w:t>
            </w:r>
          </w:p>
        </w:tc>
        <w:tc>
          <w:tcPr>
            <w:tcW w:type="dxa" w:w="6520"/>
          </w:tcPr>
          <w:p>
            <w:r/>
            <w:r>
              <w:rPr>
                <w:sz w:val="17"/>
              </w:rPr>
              <w:t>categoria_logistica</w:t>
            </w:r>
          </w:p>
        </w:tc>
      </w:tr>
      <w:tr>
        <w:trPr>
          <w:cantSplit/>
        </w:trPr>
        <w:tc>
          <w:tcPr>
            <w:tcW w:type="dxa" w:w="3118"/>
          </w:tcPr>
          <w:p>
            <w:r/>
            <w:r>
              <w:rPr>
                <w:sz w:val="17"/>
              </w:rPr>
              <w:t>andinalog_flota_silver</w:t>
            </w:r>
          </w:p>
        </w:tc>
        <w:tc>
          <w:tcPr>
            <w:tcW w:type="dxa" w:w="6520"/>
          </w:tcPr>
          <w:p>
            <w:r/>
            <w:r>
              <w:rPr>
                <w:sz w:val="17"/>
              </w:rPr>
              <w:t>tipo_camion</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viaje_id no tiene tabla propia: es una dimensión degenerada de la telemetría.</w:t>
      </w:r>
    </w:p>
    <w:p>
      <w:pPr>
        <w:pStyle w:val="ListParagraph"/>
        <w:spacing w:after="40"/>
      </w:pPr>
      <w:r>
        <w:rPr>
          <w:b/>
        </w:rPr>
        <w:t xml:space="preserve">2. </w:t>
      </w:r>
      <w:r>
        <w:rPr>
          <w:b w:val="0"/>
        </w:rPr>
        <w:t>Para un indicador por viaje hay que colapsar las lecturas de cada viaje antes de promediar.</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 Lecturas con Desviación = AVERAGE ( andinalog_iot_telemetry_silver[desviacion_termica_flag] )</w:t>
      </w:r>
    </w:p>
    <w:p>
      <w:pPr>
        <w:spacing w:after="0"/>
        <w:ind w:left="170"/>
        <w:shd w:val="clear" w:color="auto" w:fill="F2F5F3"/>
      </w:pPr>
      <w:r>
        <w:rPr>
          <w:rFonts w:ascii="Consolas" w:hAnsi="Consolas" w:eastAsia="Consolas"/>
          <w:sz w:val="16"/>
        </w:rPr>
        <w:t>% Viajes con Desviación =</w:t>
      </w:r>
    </w:p>
    <w:p>
      <w:pPr>
        <w:spacing w:after="0"/>
        <w:ind w:left="170"/>
        <w:shd w:val="clear" w:color="auto" w:fill="F2F5F3"/>
      </w:pPr>
      <w:r>
        <w:rPr>
          <w:rFonts w:ascii="Consolas" w:hAnsi="Consolas" w:eastAsia="Consolas"/>
          <w:sz w:val="16"/>
        </w:rPr>
        <w:t>VAR v = ADDCOLUMNS ( VALUES ( andinalog_iot_telemetry_silver[viaje_id] ),</w:t>
      </w:r>
    </w:p>
    <w:p>
      <w:pPr>
        <w:spacing w:after="0"/>
        <w:ind w:left="170"/>
        <w:shd w:val="clear" w:color="auto" w:fill="F2F5F3"/>
      </w:pPr>
      <w:r>
        <w:rPr>
          <w:rFonts w:ascii="Consolas" w:hAnsi="Consolas" w:eastAsia="Consolas"/>
          <w:sz w:val="16"/>
        </w:rPr>
        <w:t xml:space="preserve">    "d", CALCULATE ( MAX ( andinalog_iot_telemetry_silver[desviacion_termica_flag] ) ) )</w:t>
      </w:r>
    </w:p>
    <w:p>
      <w:pPr>
        <w:spacing w:after="0"/>
        <w:ind w:left="170"/>
        <w:shd w:val="clear" w:color="auto" w:fill="F2F5F3"/>
      </w:pPr>
      <w:r>
        <w:rPr>
          <w:rFonts w:ascii="Consolas" w:hAnsi="Consolas" w:eastAsia="Consolas"/>
          <w:sz w:val="16"/>
        </w:rPr>
        <w:t>RETURN AVERAGEX ( v, [d] )</w:t>
      </w:r>
    </w:p>
    <w:p>
      <w:pPr>
        <w:spacing w:after="0"/>
        <w:ind w:left="170"/>
        <w:shd w:val="clear" w:color="auto" w:fill="F2F5F3"/>
      </w:pPr>
      <w:r>
        <w:rPr>
          <w:rFonts w:ascii="Consolas" w:hAnsi="Consolas" w:eastAsia="Consolas"/>
          <w:sz w:val="16"/>
        </w:rPr>
        <w:t>N Viajes = DISTINCTCOUNT ( andinalog_iot_telemetry_silver[viaje_id]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Viajes · lecturas · lecturas por viaje</w:t>
            </w:r>
          </w:p>
        </w:tc>
        <w:tc>
          <w:tcPr>
            <w:tcW w:type="dxa" w:w="4535"/>
          </w:tcPr>
          <w:p>
            <w:r/>
            <w:r>
              <w:rPr>
                <w:b/>
                <w:sz w:val="17"/>
              </w:rPr>
              <w:t>8.000 · 191.710 · de 18 a 30</w:t>
            </w:r>
          </w:p>
        </w:tc>
      </w:tr>
      <w:tr>
        <w:trPr>
          <w:cantSplit/>
        </w:trPr>
        <w:tc>
          <w:tcPr>
            <w:tcW w:type="dxa" w:w="5102"/>
          </w:tcPr>
          <w:p>
            <w:r/>
            <w:r>
              <w:rPr>
                <w:sz w:val="17"/>
              </w:rPr>
              <w:t>% viajes con desviación frente a % lecturas</w:t>
            </w:r>
          </w:p>
        </w:tc>
        <w:tc>
          <w:tcPr>
            <w:tcW w:type="dxa" w:w="4535"/>
          </w:tcPr>
          <w:p>
            <w:r/>
            <w:r>
              <w:rPr>
                <w:b/>
                <w:sz w:val="17"/>
              </w:rPr>
              <w:t>14,36 % frente a 6,14 %</w:t>
            </w:r>
          </w:p>
        </w:tc>
      </w:tr>
      <w:tr>
        <w:trPr>
          <w:cantSplit/>
        </w:trPr>
        <w:tc>
          <w:tcPr>
            <w:tcW w:type="dxa" w:w="5102"/>
          </w:tcPr>
          <w:p>
            <w:r/>
            <w:r>
              <w:rPr>
                <w:sz w:val="17"/>
              </w:rPr>
              <w:t>% viajes con desviación por categoría</w:t>
            </w:r>
          </w:p>
        </w:tc>
        <w:tc>
          <w:tcPr>
            <w:tcW w:type="dxa" w:w="4535"/>
          </w:tcPr>
          <w:p>
            <w:r/>
            <w:r>
              <w:rPr>
                <w:b/>
                <w:sz w:val="17"/>
              </w:rPr>
              <w:t>Congelado 14,50 % · Refrigerado 14,26 %</w:t>
            </w:r>
          </w:p>
        </w:tc>
      </w:tr>
      <w:tr>
        <w:trPr>
          <w:cantSplit/>
        </w:trPr>
        <w:tc>
          <w:tcPr>
            <w:tcW w:type="dxa" w:w="5102"/>
          </w:tcPr>
          <w:p>
            <w:r/>
            <w:r>
              <w:rPr>
                <w:sz w:val="17"/>
              </w:rPr>
              <w:t>% viajes con desviación por tipo de camión</w:t>
            </w:r>
          </w:p>
        </w:tc>
        <w:tc>
          <w:tcPr>
            <w:tcW w:type="dxa" w:w="4535"/>
          </w:tcPr>
          <w:p>
            <w:r/>
            <w:r>
              <w:rPr>
                <w:b/>
                <w:sz w:val="17"/>
              </w:rPr>
              <w:t>Refrigerado 14,87 % · Seco 13,84 % · Congelado 13,73 %</w:t>
            </w:r>
          </w:p>
        </w:tc>
      </w:tr>
    </w:tbl>
    <w:p>
      <w:pPr>
        <w:spacing w:after="40"/>
      </w:pPr>
    </w:p>
    <w:p>
      <w:pPr>
        <w:spacing w:after="120"/>
      </w:pPr>
      <w:r>
        <w:rPr>
          <w:b/>
          <w:color w:val="B04A1A"/>
        </w:rPr>
        <w:t xml:space="preserve">Riesgo a vigilar: </w:t>
      </w:r>
      <w:r>
        <w:rPr>
          <w:b w:val="0"/>
        </w:rPr>
        <w:t>Promediar el flag por lectura mezcla dos cosas: cuántos viajes tuvieron problemas y cuánto duraron. Solo la tabla virtual por viaje responde «qué proporción de viajes tuvo una excursión». La telemetría solo incluye productos congelados y refrigerados: las categorías Ambiente y Frágil no aparecen.</w:t>
      </w:r>
    </w:p>
    <w:p>
      <w:pPr>
        <w:pStyle w:val="Heading3"/>
      </w:pPr>
      <w:r>
        <w:t>Evidencia 2. Riesgo de vencimiento y merma según días en almacén y fecha de vencimiento.</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andinalog_inventory_tracking_silver</w:t>
            </w:r>
          </w:p>
        </w:tc>
        <w:tc>
          <w:tcPr>
            <w:tcW w:type="dxa" w:w="6520"/>
          </w:tcPr>
          <w:p>
            <w:r/>
            <w:r>
              <w:rPr>
                <w:sz w:val="17"/>
              </w:rPr>
              <w:t>fecha_salida, fecha_vencimiento, cantidad_ingreso, cantidad_merma, dias_en_almacen</w:t>
            </w:r>
          </w:p>
        </w:tc>
      </w:tr>
      <w:tr>
        <w:trPr>
          <w:cantSplit/>
        </w:trPr>
        <w:tc>
          <w:tcPr>
            <w:tcW w:type="dxa" w:w="3118"/>
          </w:tcPr>
          <w:p>
            <w:r/>
            <w:r>
              <w:rPr>
                <w:sz w:val="17"/>
              </w:rPr>
              <w:t>andinalog_productos_silver</w:t>
            </w:r>
          </w:p>
        </w:tc>
        <w:tc>
          <w:tcPr>
            <w:tcW w:type="dxa" w:w="6520"/>
          </w:tcPr>
          <w:p>
            <w:r/>
            <w:r>
              <w:rPr>
                <w:sz w:val="17"/>
              </w:rPr>
              <w:t>categoria_logistica</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En v10 todos los lotes tienen fecha de salida: el riesgo se mide como vida remanente al salir.</w:t>
      </w:r>
    </w:p>
    <w:p>
      <w:pPr>
        <w:pStyle w:val="ListParagraph"/>
        <w:spacing w:after="40"/>
      </w:pPr>
      <w:r>
        <w:rPr>
          <w:b/>
        </w:rPr>
        <w:t xml:space="preserve">2. </w:t>
      </w:r>
      <w:r>
        <w:rPr>
          <w:b w:val="0"/>
        </w:rPr>
        <w:t>Crear columnas calculadas por lote y medidas agregadas por categoría y tramo de días en almacén.</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 Columnas calculadas en andinalog_inventory_tracking_silver</w:t>
      </w:r>
    </w:p>
    <w:p>
      <w:pPr>
        <w:spacing w:after="0"/>
        <w:ind w:left="170"/>
        <w:shd w:val="clear" w:color="auto" w:fill="F2F5F3"/>
      </w:pPr>
      <w:r>
        <w:rPr>
          <w:rFonts w:ascii="Consolas" w:hAnsi="Consolas" w:eastAsia="Consolas"/>
          <w:sz w:val="16"/>
        </w:rPr>
        <w:t>Vida Remanente al Salir (días) = DATEDIFF ( andinalog_inventory_tracking_silver[fecha_salida], andinalog_inventory_tracking_silver[fecha_vencimiento], DAY )</w:t>
      </w:r>
    </w:p>
    <w:p>
      <w:pPr>
        <w:spacing w:after="0"/>
        <w:ind w:left="170"/>
        <w:shd w:val="clear" w:color="auto" w:fill="F2F5F3"/>
      </w:pPr>
      <w:r>
        <w:rPr>
          <w:rFonts w:ascii="Consolas" w:hAnsi="Consolas" w:eastAsia="Consolas"/>
          <w:sz w:val="16"/>
        </w:rPr>
        <w:t>Salió Vencido = IF ( [Vida Remanente al Salir (días)] &lt; 0, 1, 0 )</w:t>
      </w:r>
    </w:p>
    <w:p>
      <w:pPr>
        <w:spacing w:after="0"/>
        <w:ind w:left="170"/>
        <w:shd w:val="clear" w:color="auto" w:fill="F2F5F3"/>
      </w:pPr>
      <w:r>
        <w:rPr>
          <w:rFonts w:ascii="Consolas" w:hAnsi="Consolas" w:eastAsia="Consolas"/>
          <w:sz w:val="16"/>
        </w:rPr>
        <w:t xml:space="preserve"> </w:t>
      </w:r>
    </w:p>
    <w:p>
      <w:pPr>
        <w:spacing w:after="0"/>
        <w:ind w:left="170"/>
        <w:shd w:val="clear" w:color="auto" w:fill="F2F5F3"/>
      </w:pPr>
      <w:r>
        <w:rPr>
          <w:rFonts w:ascii="Consolas" w:hAnsi="Consolas" w:eastAsia="Consolas"/>
          <w:sz w:val="16"/>
        </w:rPr>
        <w:t>-- Medidas</w:t>
      </w:r>
    </w:p>
    <w:p>
      <w:pPr>
        <w:spacing w:after="0"/>
        <w:ind w:left="170"/>
        <w:shd w:val="clear" w:color="auto" w:fill="F2F5F3"/>
      </w:pPr>
      <w:r>
        <w:rPr>
          <w:rFonts w:ascii="Consolas" w:hAnsi="Consolas" w:eastAsia="Consolas"/>
          <w:sz w:val="16"/>
        </w:rPr>
        <w:t>Merma % = DIVIDE ( SUM ( andinalog_inventory_tracking_silver[cantidad_merma] ), SUM ( andinalog_inventory_tracking_silver[cantidad_ingreso] ) )</w:t>
      </w:r>
    </w:p>
    <w:p>
      <w:pPr>
        <w:spacing w:after="0"/>
        <w:ind w:left="170"/>
        <w:shd w:val="clear" w:color="auto" w:fill="F2F5F3"/>
      </w:pPr>
      <w:r>
        <w:rPr>
          <w:rFonts w:ascii="Consolas" w:hAnsi="Consolas" w:eastAsia="Consolas"/>
          <w:sz w:val="16"/>
        </w:rPr>
        <w:t>Lotes Salidos Vencidos = SUM ( andinalog_inventory_tracking_silver[Salió Vencido] )</w:t>
      </w:r>
    </w:p>
    <w:p>
      <w:pPr>
        <w:spacing w:after="0"/>
        <w:ind w:left="170"/>
        <w:shd w:val="clear" w:color="auto" w:fill="F2F5F3"/>
      </w:pPr>
      <w:r>
        <w:rPr>
          <w:rFonts w:ascii="Consolas" w:hAnsi="Consolas" w:eastAsia="Consolas"/>
          <w:sz w:val="16"/>
        </w:rPr>
        <w:t>Días Promedio en Almacén = AVERAGE ( andinalog_inventory_tracking_silver[dias_en_almacen]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Lotes</w:t>
            </w:r>
          </w:p>
        </w:tc>
        <w:tc>
          <w:tcPr>
            <w:tcW w:type="dxa" w:w="4535"/>
          </w:tcPr>
          <w:p>
            <w:r/>
            <w:r>
              <w:rPr>
                <w:b/>
                <w:sz w:val="17"/>
              </w:rPr>
              <w:t>7.782 (ninguno sin fecha de salida)</w:t>
            </w:r>
          </w:p>
        </w:tc>
      </w:tr>
      <w:tr>
        <w:trPr>
          <w:cantSplit/>
        </w:trPr>
        <w:tc>
          <w:tcPr>
            <w:tcW w:type="dxa" w:w="5102"/>
          </w:tcPr>
          <w:p>
            <w:r/>
            <w:r>
              <w:rPr>
                <w:sz w:val="17"/>
              </w:rPr>
              <w:t>Lotes que salieron vencidos</w:t>
            </w:r>
          </w:p>
        </w:tc>
        <w:tc>
          <w:tcPr>
            <w:tcW w:type="dxa" w:w="4535"/>
          </w:tcPr>
          <w:p>
            <w:r/>
            <w:r>
              <w:rPr>
                <w:b/>
                <w:sz w:val="17"/>
              </w:rPr>
              <w:t>1.069 (13,7 %)</w:t>
            </w:r>
          </w:p>
        </w:tc>
      </w:tr>
      <w:tr>
        <w:trPr>
          <w:cantSplit/>
        </w:trPr>
        <w:tc>
          <w:tcPr>
            <w:tcW w:type="dxa" w:w="5102"/>
          </w:tcPr>
          <w:p>
            <w:r/>
            <w:r>
              <w:rPr>
                <w:sz w:val="17"/>
              </w:rPr>
              <w:t>Lotes que salieron con menos de 7 días de vida</w:t>
            </w:r>
          </w:p>
        </w:tc>
        <w:tc>
          <w:tcPr>
            <w:tcW w:type="dxa" w:w="4535"/>
          </w:tcPr>
          <w:p>
            <w:r/>
            <w:r>
              <w:rPr>
                <w:b/>
                <w:sz w:val="17"/>
              </w:rPr>
              <w:t>1.317</w:t>
            </w:r>
          </w:p>
        </w:tc>
      </w:tr>
      <w:tr>
        <w:trPr>
          <w:cantSplit/>
        </w:trPr>
        <w:tc>
          <w:tcPr>
            <w:tcW w:type="dxa" w:w="5102"/>
          </w:tcPr>
          <w:p>
            <w:r/>
            <w:r>
              <w:rPr>
                <w:sz w:val="17"/>
              </w:rPr>
              <w:t>Merma global</w:t>
            </w:r>
          </w:p>
        </w:tc>
        <w:tc>
          <w:tcPr>
            <w:tcW w:type="dxa" w:w="4535"/>
          </w:tcPr>
          <w:p>
            <w:r/>
            <w:r>
              <w:rPr>
                <w:b/>
                <w:sz w:val="17"/>
              </w:rPr>
              <w:t>7,36 %</w:t>
            </w:r>
          </w:p>
        </w:tc>
      </w:tr>
      <w:tr>
        <w:trPr>
          <w:cantSplit/>
        </w:trPr>
        <w:tc>
          <w:tcPr>
            <w:tcW w:type="dxa" w:w="5102"/>
          </w:tcPr>
          <w:p>
            <w:r/>
            <w:r>
              <w:rPr>
                <w:sz w:val="17"/>
              </w:rPr>
              <w:t>Merma por categoría</w:t>
            </w:r>
          </w:p>
        </w:tc>
        <w:tc>
          <w:tcPr>
            <w:tcW w:type="dxa" w:w="4535"/>
          </w:tcPr>
          <w:p>
            <w:r/>
            <w:r>
              <w:rPr>
                <w:b/>
                <w:sz w:val="17"/>
              </w:rPr>
              <w:t>Congelado 7,75 % · Refrigerado 7,53 % · Frágil 7,21 % · Ambiente 6,93 %</w:t>
            </w:r>
          </w:p>
        </w:tc>
      </w:tr>
      <w:tr>
        <w:trPr>
          <w:cantSplit/>
        </w:trPr>
        <w:tc>
          <w:tcPr>
            <w:tcW w:type="dxa" w:w="5102"/>
          </w:tcPr>
          <w:p>
            <w:r/>
            <w:r>
              <w:rPr>
                <w:sz w:val="17"/>
              </w:rPr>
              <w:t>Merma por días en almacén</w:t>
            </w:r>
          </w:p>
        </w:tc>
        <w:tc>
          <w:tcPr>
            <w:tcW w:type="dxa" w:w="4535"/>
          </w:tcPr>
          <w:p>
            <w:r/>
            <w:r>
              <w:rPr>
                <w:b/>
                <w:sz w:val="17"/>
              </w:rPr>
              <w:t>0–14: 7,37 % · 15–30: 7,45 % · 31–60: 7,38 % · más de 60: 7,20 %</w:t>
            </w:r>
          </w:p>
        </w:tc>
      </w:tr>
      <w:tr>
        <w:trPr>
          <w:cantSplit/>
        </w:trPr>
        <w:tc>
          <w:tcPr>
            <w:tcW w:type="dxa" w:w="5102"/>
          </w:tcPr>
          <w:p>
            <w:r/>
            <w:r>
              <w:rPr>
                <w:sz w:val="17"/>
              </w:rPr>
              <w:t>Días promedio en almacén</w:t>
            </w:r>
          </w:p>
        </w:tc>
        <w:tc>
          <w:tcPr>
            <w:tcW w:type="dxa" w:w="4535"/>
          </w:tcPr>
          <w:p>
            <w:r/>
            <w:r>
              <w:rPr>
                <w:b/>
                <w:sz w:val="17"/>
              </w:rPr>
              <w:t>38,98</w:t>
            </w:r>
          </w:p>
        </w:tc>
      </w:tr>
    </w:tbl>
    <w:p>
      <w:pPr>
        <w:spacing w:after="40"/>
      </w:pPr>
    </w:p>
    <w:p>
      <w:pPr>
        <w:spacing w:after="120"/>
      </w:pPr>
      <w:r>
        <w:rPr>
          <w:b/>
          <w:color w:val="B04A1A"/>
        </w:rPr>
        <w:t xml:space="preserve">Riesgo a vigilar: </w:t>
      </w:r>
      <w:r>
        <w:rPr>
          <w:b w:val="0"/>
        </w:rPr>
        <w:t>DATEDIFF con fechas que incluyen hora cuenta días completos entre las horas: convierta las columnas a tipo fecha si quiere días calendario. La merma no crece con los días en almacén en v10: el hallazgo relevante es la cantidad de lotes que salen vencidos, no la antigüedad.</w:t>
      </w:r>
    </w:p>
    <w:p>
      <w:pPr>
        <w:pStyle w:val="Heading3"/>
      </w:pPr>
      <w:r>
        <w:t>Evidencia 3. Variables y reglas de alerta para anticipar una desviación térmica en los próximos 60 minutos.</w:t>
      </w:r>
    </w:p>
    <w:p>
      <w:pPr>
        <w:keepNext/>
        <w:spacing w:after="40"/>
      </w:pPr>
      <w:r>
        <w:rPr>
          <w:b/>
          <w:i w:val="0"/>
          <w:color w:val="2F7D4F"/>
          <w:sz w:val="20"/>
        </w:rPr>
        <w:t>Tablas de entrada y campos clave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3118"/>
        <w:gridCol w:w="6520"/>
      </w:tblGrid>
      <w:tr>
        <w:trPr>
          <w:cantSplit/>
          <w:tblHeader/>
        </w:trPr>
        <w:tc>
          <w:tcPr>
            <w:tcW w:type="dxa" w:w="3118"/>
            <w:shd w:val="clear" w:color="auto" w:fill="DCEEE2"/>
          </w:tcPr>
          <w:p>
            <w:r/>
            <w:r>
              <w:rPr>
                <w:b/>
                <w:color w:val="20603D"/>
                <w:sz w:val="17"/>
              </w:rPr>
              <w:t>Tabla</w:t>
            </w:r>
          </w:p>
        </w:tc>
        <w:tc>
          <w:tcPr>
            <w:tcW w:type="dxa" w:w="6520"/>
            <w:shd w:val="clear" w:color="auto" w:fill="DCEEE2"/>
          </w:tcPr>
          <w:p>
            <w:r/>
            <w:r>
              <w:rPr>
                <w:b/>
                <w:color w:val="20603D"/>
                <w:sz w:val="17"/>
              </w:rPr>
              <w:t>Campos</w:t>
            </w:r>
          </w:p>
        </w:tc>
      </w:tr>
      <w:tr>
        <w:trPr>
          <w:cantSplit/>
        </w:trPr>
        <w:tc>
          <w:tcPr>
            <w:tcW w:type="dxa" w:w="3118"/>
          </w:tcPr>
          <w:p>
            <w:r/>
            <w:r>
              <w:rPr>
                <w:sz w:val="17"/>
              </w:rPr>
              <w:t>andinalog_iot_telemetry_silver</w:t>
            </w:r>
          </w:p>
        </w:tc>
        <w:tc>
          <w:tcPr>
            <w:tcW w:type="dxa" w:w="6520"/>
          </w:tcPr>
          <w:p>
            <w:r/>
            <w:r>
              <w:rPr>
                <w:sz w:val="17"/>
              </w:rPr>
              <w:t>viaje_id, minutos_desde_despacho, temperatura_cabina_c, desviacion_termica_flag, puerta_abierta_flag, desviacion_proximos_60min_flag</w:t>
            </w:r>
          </w:p>
        </w:tc>
      </w:tr>
    </w:tbl>
    <w:p>
      <w:pPr>
        <w:spacing w:after="40"/>
      </w:pPr>
    </w:p>
    <w:p>
      <w:pPr>
        <w:keepNext/>
        <w:spacing w:after="40"/>
      </w:pPr>
      <w:r>
        <w:rPr>
          <w:b/>
          <w:i w:val="0"/>
          <w:color w:val="2F7D4F"/>
          <w:sz w:val="20"/>
        </w:rPr>
        <w:t>Pasos en Power BI</w:t>
      </w:r>
    </w:p>
    <w:p>
      <w:pPr>
        <w:pStyle w:val="ListParagraph"/>
        <w:spacing w:after="40"/>
      </w:pPr>
      <w:r>
        <w:rPr>
          <w:b/>
        </w:rPr>
        <w:t xml:space="preserve">1. </w:t>
      </w:r>
      <w:r>
        <w:rPr>
          <w:b w:val="0"/>
        </w:rPr>
        <w:t>Las lecturas son cada 30 minutos: la lectura anterior de un viaje es la que tiene minutos_desde_despacho − 30. Así el rezago se obtiene con LOOKUPVALUE, sin ordenar ni usar TOPN.</w:t>
      </w:r>
    </w:p>
    <w:p>
      <w:pPr>
        <w:pStyle w:val="ListParagraph"/>
        <w:spacing w:after="40"/>
      </w:pPr>
      <w:r>
        <w:rPr>
          <w:b/>
        </w:rPr>
        <w:t xml:space="preserve">2. </w:t>
      </w:r>
      <w:r>
        <w:rPr>
          <w:b w:val="0"/>
        </w:rPr>
        <w:t>Comparar la probabilidad de desviación en la hora siguiente con y sin cada señal (precisión) y qué parte de las desviaciones anticipa cada regla (cobertura).</w:t>
      </w:r>
    </w:p>
    <w:p>
      <w:pPr>
        <w:keepNext/>
        <w:spacing w:after="40"/>
      </w:pPr>
      <w:r>
        <w:rPr>
          <w:b/>
          <w:i w:val="0"/>
          <w:color w:val="2F7D4F"/>
          <w:sz w:val="20"/>
        </w:rPr>
        <w:t>Medidas DAX</w:t>
      </w:r>
    </w:p>
    <w:p>
      <w:pPr>
        <w:spacing w:after="0"/>
        <w:ind w:left="170"/>
        <w:shd w:val="clear" w:color="auto" w:fill="F2F5F3"/>
      </w:pPr>
      <w:r>
        <w:rPr>
          <w:rFonts w:ascii="Consolas" w:hAnsi="Consolas" w:eastAsia="Consolas"/>
          <w:sz w:val="16"/>
        </w:rPr>
        <w:t>-- Columnas calculadas en andinalog_iot_telemetry_silver</w:t>
      </w:r>
    </w:p>
    <w:p>
      <w:pPr>
        <w:spacing w:after="0"/>
        <w:ind w:left="170"/>
        <w:shd w:val="clear" w:color="auto" w:fill="F2F5F3"/>
      </w:pPr>
      <w:r>
        <w:rPr>
          <w:rFonts w:ascii="Consolas" w:hAnsi="Consolas" w:eastAsia="Consolas"/>
          <w:sz w:val="16"/>
        </w:rPr>
        <w:t>Temp Anterior =</w:t>
      </w:r>
    </w:p>
    <w:p>
      <w:pPr>
        <w:spacing w:after="0"/>
        <w:ind w:left="170"/>
        <w:shd w:val="clear" w:color="auto" w:fill="F2F5F3"/>
      </w:pPr>
      <w:r>
        <w:rPr>
          <w:rFonts w:ascii="Consolas" w:hAnsi="Consolas" w:eastAsia="Consolas"/>
          <w:sz w:val="16"/>
        </w:rPr>
        <w:t>LOOKUPVALUE ( andinalog_iot_telemetry_silver[temperatura_cabina_c],</w:t>
      </w:r>
    </w:p>
    <w:p>
      <w:pPr>
        <w:spacing w:after="0"/>
        <w:ind w:left="170"/>
        <w:shd w:val="clear" w:color="auto" w:fill="F2F5F3"/>
      </w:pPr>
      <w:r>
        <w:rPr>
          <w:rFonts w:ascii="Consolas" w:hAnsi="Consolas" w:eastAsia="Consolas"/>
          <w:sz w:val="16"/>
        </w:rPr>
        <w:t xml:space="preserve">    andinalog_iot_telemetry_silver[viaje_id], andinalog_iot_telemetry_silver[viaje_id],</w:t>
      </w:r>
    </w:p>
    <w:p>
      <w:pPr>
        <w:spacing w:after="0"/>
        <w:ind w:left="170"/>
        <w:shd w:val="clear" w:color="auto" w:fill="F2F5F3"/>
      </w:pPr>
      <w:r>
        <w:rPr>
          <w:rFonts w:ascii="Consolas" w:hAnsi="Consolas" w:eastAsia="Consolas"/>
          <w:sz w:val="16"/>
        </w:rPr>
        <w:t xml:space="preserve">    andinalog_iot_telemetry_silver[minutos_desde_despacho], andinalog_iot_telemetry_silver[minutos_desde_despacho] - 30 )</w:t>
      </w:r>
    </w:p>
    <w:p>
      <w:pPr>
        <w:spacing w:after="0"/>
        <w:ind w:left="170"/>
        <w:shd w:val="clear" w:color="auto" w:fill="F2F5F3"/>
      </w:pPr>
      <w:r>
        <w:rPr>
          <w:rFonts w:ascii="Consolas" w:hAnsi="Consolas" w:eastAsia="Consolas"/>
          <w:sz w:val="16"/>
        </w:rPr>
        <w:t>Variación 30 min = IF ( ISBLANK ( [Temp Anterior] ), BLANK (), andinalog_iot_telemetry_silver[temperatura_cabina_c] - [Temp Anterior] )</w:t>
      </w:r>
    </w:p>
    <w:p>
      <w:pPr>
        <w:spacing w:after="0"/>
        <w:ind w:left="170"/>
        <w:shd w:val="clear" w:color="auto" w:fill="F2F5F3"/>
      </w:pPr>
      <w:r>
        <w:rPr>
          <w:rFonts w:ascii="Consolas" w:hAnsi="Consolas" w:eastAsia="Consolas"/>
          <w:sz w:val="16"/>
        </w:rPr>
        <w:t xml:space="preserve"> </w:t>
      </w:r>
    </w:p>
    <w:p>
      <w:pPr>
        <w:spacing w:after="0"/>
        <w:ind w:left="170"/>
        <w:shd w:val="clear" w:color="auto" w:fill="F2F5F3"/>
      </w:pPr>
      <w:r>
        <w:rPr>
          <w:rFonts w:ascii="Consolas" w:hAnsi="Consolas" w:eastAsia="Consolas"/>
          <w:sz w:val="16"/>
        </w:rPr>
        <w:t>-- Medidas</w:t>
      </w:r>
    </w:p>
    <w:p>
      <w:pPr>
        <w:spacing w:after="0"/>
        <w:ind w:left="170"/>
        <w:shd w:val="clear" w:color="auto" w:fill="F2F5F3"/>
      </w:pPr>
      <w:r>
        <w:rPr>
          <w:rFonts w:ascii="Consolas" w:hAnsi="Consolas" w:eastAsia="Consolas"/>
          <w:sz w:val="16"/>
        </w:rPr>
        <w:t>Prob. Desviación 60 min = AVERAGE ( andinalog_iot_telemetry_silver[desviacion_proximos_60min_flag] )</w:t>
      </w:r>
    </w:p>
    <w:p>
      <w:pPr>
        <w:spacing w:after="0"/>
        <w:ind w:left="170"/>
        <w:shd w:val="clear" w:color="auto" w:fill="F2F5F3"/>
      </w:pPr>
      <w:r>
        <w:rPr>
          <w:rFonts w:ascii="Consolas" w:hAnsi="Consolas" w:eastAsia="Consolas"/>
          <w:sz w:val="16"/>
        </w:rPr>
        <w:t>Cobertura de la Regla =</w:t>
      </w:r>
    </w:p>
    <w:p>
      <w:pPr>
        <w:spacing w:after="0"/>
        <w:ind w:left="170"/>
        <w:shd w:val="clear" w:color="auto" w:fill="F2F5F3"/>
      </w:pPr>
      <w:r>
        <w:rPr>
          <w:rFonts w:ascii="Consolas" w:hAnsi="Consolas" w:eastAsia="Consolas"/>
          <w:sz w:val="16"/>
        </w:rPr>
        <w:t>DIVIDE ( SUM ( andinalog_iot_telemetry_silver[desviacion_proximos_60min_flag] ),</w:t>
      </w:r>
    </w:p>
    <w:p>
      <w:pPr>
        <w:spacing w:after="0"/>
        <w:ind w:left="170"/>
        <w:shd w:val="clear" w:color="auto" w:fill="F2F5F3"/>
      </w:pPr>
      <w:r>
        <w:rPr>
          <w:rFonts w:ascii="Consolas" w:hAnsi="Consolas" w:eastAsia="Consolas"/>
          <w:sz w:val="16"/>
        </w:rPr>
        <w:t xml:space="preserve">    CALCULATE ( SUM ( andinalog_iot_telemetry_silver[desviacion_proximos_60min_flag] ), ALLSELECTED () ) )</w:t>
      </w:r>
    </w:p>
    <w:p>
      <w:pPr>
        <w:spacing w:after="40"/>
      </w:pPr>
    </w:p>
    <w:p>
      <w:pPr>
        <w:keepNext/>
        <w:spacing w:after="40"/>
      </w:pPr>
      <w:r>
        <w:rPr>
          <w:b/>
          <w:i w:val="0"/>
          <w:color w:val="2F7D4F"/>
          <w:sz w:val="20"/>
        </w:rPr>
        <w:t>Valores de referencia (datos v10)</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5103"/>
        <w:gridCol w:w="4536"/>
      </w:tblGrid>
      <w:tr>
        <w:trPr>
          <w:cantSplit/>
          <w:tblHeader/>
        </w:trPr>
        <w:tc>
          <w:tcPr>
            <w:tcW w:type="dxa" w:w="5102"/>
            <w:shd w:val="clear" w:color="auto" w:fill="DCEEE2"/>
          </w:tcPr>
          <w:p>
            <w:r/>
            <w:r>
              <w:rPr>
                <w:b/>
                <w:color w:val="20603D"/>
                <w:sz w:val="17"/>
              </w:rPr>
              <w:t>Control</w:t>
            </w:r>
          </w:p>
        </w:tc>
        <w:tc>
          <w:tcPr>
            <w:tcW w:type="dxa" w:w="4535"/>
            <w:shd w:val="clear" w:color="auto" w:fill="DCEEE2"/>
          </w:tcPr>
          <w:p>
            <w:r/>
            <w:r>
              <w:rPr>
                <w:b/>
                <w:color w:val="20603D"/>
                <w:sz w:val="17"/>
              </w:rPr>
              <w:t>Valor esperado</w:t>
            </w:r>
          </w:p>
        </w:tc>
      </w:tr>
      <w:tr>
        <w:trPr>
          <w:cantSplit/>
        </w:trPr>
        <w:tc>
          <w:tcPr>
            <w:tcW w:type="dxa" w:w="5102"/>
          </w:tcPr>
          <w:p>
            <w:r/>
            <w:r>
              <w:rPr>
                <w:sz w:val="17"/>
              </w:rPr>
              <w:t>Tasa base de desviación en la hora siguiente</w:t>
            </w:r>
          </w:p>
        </w:tc>
        <w:tc>
          <w:tcPr>
            <w:tcW w:type="dxa" w:w="4535"/>
          </w:tcPr>
          <w:p>
            <w:r/>
            <w:r>
              <w:rPr>
                <w:b/>
                <w:sz w:val="17"/>
              </w:rPr>
              <w:t>6,80 %</w:t>
            </w:r>
          </w:p>
        </w:tc>
      </w:tr>
      <w:tr>
        <w:trPr>
          <w:cantSplit/>
        </w:trPr>
        <w:tc>
          <w:tcPr>
            <w:tcW w:type="dxa" w:w="5102"/>
          </w:tcPr>
          <w:p>
            <w:r/>
            <w:r>
              <w:rPr>
                <w:sz w:val="17"/>
              </w:rPr>
              <w:t>Si hay desviación actual</w:t>
            </w:r>
          </w:p>
        </w:tc>
        <w:tc>
          <w:tcPr>
            <w:tcW w:type="dxa" w:w="4535"/>
          </w:tcPr>
          <w:p>
            <w:r/>
            <w:r>
              <w:rPr>
                <w:b/>
                <w:sz w:val="17"/>
              </w:rPr>
              <w:t>90,0 % (anticipa el 81,3 % de los casos)</w:t>
            </w:r>
          </w:p>
        </w:tc>
      </w:tr>
      <w:tr>
        <w:trPr>
          <w:cantSplit/>
        </w:trPr>
        <w:tc>
          <w:tcPr>
            <w:tcW w:type="dxa" w:w="5102"/>
          </w:tcPr>
          <w:p>
            <w:r/>
            <w:r>
              <w:rPr>
                <w:sz w:val="17"/>
              </w:rPr>
              <w:t>Si la variación de 30 min supera 0,5 °C</w:t>
            </w:r>
          </w:p>
        </w:tc>
        <w:tc>
          <w:tcPr>
            <w:tcW w:type="dxa" w:w="4535"/>
          </w:tcPr>
          <w:p>
            <w:r/>
            <w:r>
              <w:rPr>
                <w:b/>
                <w:sz w:val="17"/>
              </w:rPr>
              <w:t>36,7 % (18,5 % de los casos)</w:t>
            </w:r>
          </w:p>
        </w:tc>
      </w:tr>
      <w:tr>
        <w:trPr>
          <w:cantSplit/>
        </w:trPr>
        <w:tc>
          <w:tcPr>
            <w:tcW w:type="dxa" w:w="5102"/>
          </w:tcPr>
          <w:p>
            <w:r/>
            <w:r>
              <w:rPr>
                <w:sz w:val="17"/>
              </w:rPr>
              <w:t>Si la puerta está abierta</w:t>
            </w:r>
          </w:p>
        </w:tc>
        <w:tc>
          <w:tcPr>
            <w:tcW w:type="dxa" w:w="4535"/>
          </w:tcPr>
          <w:p>
            <w:r/>
            <w:r>
              <w:rPr>
                <w:b/>
                <w:sz w:val="17"/>
              </w:rPr>
              <w:t>6,6 % (igual que la tasa base)</w:t>
            </w:r>
          </w:p>
        </w:tc>
      </w:tr>
      <w:tr>
        <w:trPr>
          <w:cantSplit/>
        </w:trPr>
        <w:tc>
          <w:tcPr>
            <w:tcW w:type="dxa" w:w="5102"/>
          </w:tcPr>
          <w:p>
            <w:r/>
            <w:r>
              <w:rPr>
                <w:sz w:val="17"/>
              </w:rPr>
              <w:t>Sin ninguna de las tres señales</w:t>
            </w:r>
          </w:p>
        </w:tc>
        <w:tc>
          <w:tcPr>
            <w:tcW w:type="dxa" w:w="4535"/>
          </w:tcPr>
          <w:p>
            <w:r/>
            <w:r>
              <w:rPr>
                <w:b/>
                <w:sz w:val="17"/>
              </w:rPr>
              <w:t>0,67 %</w:t>
            </w:r>
          </w:p>
        </w:tc>
      </w:tr>
      <w:tr>
        <w:trPr>
          <w:cantSplit/>
        </w:trPr>
        <w:tc>
          <w:tcPr>
            <w:tcW w:type="dxa" w:w="5102"/>
          </w:tcPr>
          <w:p>
            <w:r/>
            <w:r>
              <w:rPr>
                <w:sz w:val="17"/>
              </w:rPr>
              <w:t>Rezago con LOOKUPVALUE frente a shift() de pandas</w:t>
            </w:r>
          </w:p>
        </w:tc>
        <w:tc>
          <w:tcPr>
            <w:tcW w:type="dxa" w:w="4535"/>
          </w:tcPr>
          <w:p>
            <w:r/>
            <w:r>
              <w:rPr>
                <w:b/>
                <w:sz w:val="17"/>
              </w:rPr>
              <w:t>coinciden en el 100 % de las lecturas</w:t>
            </w:r>
          </w:p>
        </w:tc>
      </w:tr>
    </w:tbl>
    <w:p>
      <w:pPr>
        <w:spacing w:after="40"/>
      </w:pPr>
    </w:p>
    <w:p>
      <w:pPr>
        <w:spacing w:after="120"/>
      </w:pPr>
      <w:r>
        <w:rPr>
          <w:b/>
          <w:color w:val="B04A1A"/>
        </w:rPr>
        <w:t xml:space="preserve">Riesgo a vigilar: </w:t>
      </w:r>
      <w:r>
        <w:rPr>
          <w:b w:val="0"/>
        </w:rPr>
        <w:t>La puerta abierta no anticipa desviaciones en v10: una alerta basada en ella generaría falsas alarmas. Para comparar con el modelo del Módulo 3, filtre particion_modelo = TEST (47.955 lecturas). El LOOKUPVALUE sobre 191.710 filas es más liviano que FILTER + TOPN, pero conviene medirlo con Performance Analyzer.</w:t>
      </w:r>
    </w:p>
    <w:p>
      <w:r>
        <w:br w:type="page"/>
      </w:r>
    </w:p>
    <w:p>
      <w:pPr>
        <w:pStyle w:val="Heading1"/>
      </w:pPr>
      <w:r>
        <w:t>Recomendaciones transversales</w:t>
      </w:r>
    </w:p>
    <w:p>
      <w:pPr>
        <w:pStyle w:val="ListParagraph"/>
        <w:spacing w:after="60"/>
      </w:pPr>
      <w:r>
        <w:t xml:space="preserve">• </w:t>
      </w:r>
      <w:r>
        <w:rPr>
          <w:b w:val="0"/>
        </w:rPr>
        <w:t>Relacionar, nunca fusionar, tablas de hechos: facturas y tickets, asignaciones y tickets, instantáneas de abonados y tickets, turnos y tickets, órdenes y encuestas.</w:t>
      </w:r>
    </w:p>
    <w:p>
      <w:pPr>
        <w:pStyle w:val="ListParagraph"/>
        <w:spacing w:after="60"/>
      </w:pPr>
      <w:r>
        <w:t xml:space="preserve">• </w:t>
      </w:r>
      <w:r>
        <w:rPr>
          <w:b w:val="0"/>
        </w:rPr>
        <w:t>Contar entidades con DISTINCTCOUNT cuando la tabla es una instantánea o un panel: abonados en crm_billing, técnicos en hr_schedules, viajes en la telemetría.</w:t>
      </w:r>
    </w:p>
    <w:p>
      <w:pPr>
        <w:pStyle w:val="ListParagraph"/>
        <w:spacing w:after="60"/>
      </w:pPr>
      <w:r>
        <w:t xml:space="preserve">• </w:t>
      </w:r>
      <w:r>
        <w:rPr>
          <w:b w:val="0"/>
        </w:rPr>
        <w:t>La tabla de fechas se relaciona solo con hechos. Un atributo como costo_base_bob o ingreso_bruto_bob sin fecha no se filtra por periodo: dígalo en el visual.</w:t>
      </w:r>
    </w:p>
    <w:p>
      <w:pPr>
        <w:pStyle w:val="ListParagraph"/>
        <w:spacing w:after="60"/>
      </w:pPr>
      <w:r>
        <w:t xml:space="preserve">• </w:t>
      </w:r>
      <w:r>
        <w:rPr>
          <w:b w:val="0"/>
        </w:rPr>
        <w:t>Evitar dos caminos entre una dimensión y un hecho: dim_zona con cuadrillas y con abonados, o producto con inventario y con órdenes. Elegir el camino activo y traer lo demás con LOOKUPVALUE o como atributo.</w:t>
      </w:r>
    </w:p>
    <w:p>
      <w:pPr>
        <w:pStyle w:val="ListParagraph"/>
        <w:spacing w:after="60"/>
      </w:pPr>
      <w:r>
        <w:t xml:space="preserve">• </w:t>
      </w:r>
      <w:r>
        <w:rPr>
          <w:b w:val="0"/>
        </w:rPr>
        <w:t>Cambios de grano dentro de DAX: ADDCOLUMNS o SUMMARIZE cuando el indicador se pide en un grano mayor que el de la tabla (proyecto, viaje, lote).</w:t>
      </w:r>
    </w:p>
    <w:p>
      <w:pPr>
        <w:pStyle w:val="ListParagraph"/>
        <w:spacing w:after="60"/>
      </w:pPr>
      <w:r>
        <w:t xml:space="preserve">• </w:t>
      </w:r>
      <w:r>
        <w:rPr>
          <w:b w:val="0"/>
        </w:rPr>
        <w:t>Validar cada medida contra los valores de referencia de este documento antes de construir las páginas del tablero.</w:t>
      </w:r>
    </w:p>
    <w:p>
      <w:pPr>
        <w:pStyle w:val="Heading1"/>
      </w:pPr>
      <w:r>
        <w:t>Anexo · Hallazgos de los datos v10 que conviene discutir</w:t>
      </w:r>
    </w:p>
    <w:p>
      <w:r>
        <w:rPr>
          <w:b w:val="0"/>
          <w:i w:val="0"/>
        </w:rPr>
        <w:t>Estos patrones aparecen al resolver las evidencias. No son errores del modelo: son rasgos del dato que el equipo debe interpretar en su informe.</w:t>
      </w:r>
    </w:p>
    <w:tbl>
      <w:tblPr>
        <w:tblW w:type="auto" w:w="0"/>
        <w:tblLayout w:type="fixed"/>
        <w:tblLook w:firstColumn="1" w:firstRow="1" w:lastColumn="0" w:lastRow="0" w:noHBand="0" w:noVBand="1" w:val="04A0"/>
        <w:tblBorders>
          <w:top w:val="single" w:sz="4" w:color="9DBFA9"/>
          <w:left w:val="single" w:sz="4" w:color="9DBFA9"/>
          <w:bottom w:val="single" w:sz="4" w:color="9DBFA9"/>
          <w:right w:val="single" w:sz="4" w:color="9DBFA9"/>
          <w:insideH w:val="single" w:sz="4" w:color="9DBFA9"/>
          <w:insideV w:val="single" w:sz="4" w:color="9DBFA9"/>
        </w:tblBorders>
      </w:tblPr>
      <w:tblGrid>
        <w:gridCol w:w="2551"/>
        <w:gridCol w:w="7087"/>
      </w:tblGrid>
      <w:tr>
        <w:trPr>
          <w:cantSplit/>
          <w:tblHeader/>
        </w:trPr>
        <w:tc>
          <w:tcPr>
            <w:tcW w:type="dxa" w:w="2551"/>
            <w:shd w:val="clear" w:color="auto" w:fill="DCEEE2"/>
          </w:tcPr>
          <w:p>
            <w:r/>
            <w:r>
              <w:rPr>
                <w:b/>
                <w:color w:val="20603D"/>
                <w:sz w:val="17"/>
              </w:rPr>
              <w:t>Tema</w:t>
            </w:r>
          </w:p>
        </w:tc>
        <w:tc>
          <w:tcPr>
            <w:tcW w:type="dxa" w:w="7087"/>
            <w:shd w:val="clear" w:color="auto" w:fill="DCEEE2"/>
          </w:tcPr>
          <w:p>
            <w:r/>
            <w:r>
              <w:rPr>
                <w:b/>
                <w:color w:val="20603D"/>
                <w:sz w:val="17"/>
              </w:rPr>
              <w:t>Hallazgo</w:t>
            </w:r>
          </w:p>
        </w:tc>
      </w:tr>
      <w:tr>
        <w:trPr>
          <w:cantSplit/>
        </w:trPr>
        <w:tc>
          <w:tcPr>
            <w:tcW w:type="dxa" w:w="2551"/>
          </w:tcPr>
          <w:p>
            <w:r/>
            <w:r>
              <w:rPr>
                <w:sz w:val="17"/>
              </w:rPr>
              <w:t>RedNexo · escala del OPEX</w:t>
            </w:r>
          </w:p>
        </w:tc>
        <w:tc>
          <w:tcPr>
            <w:tcW w:type="dxa" w:w="7087"/>
          </w:tcPr>
          <w:p>
            <w:r/>
            <w:r>
              <w:rPr>
                <w:sz w:val="17"/>
              </w:rPr>
              <w:t>El OPEX mensual de la red (Bs 6,44 millones en 2025) es unas 4,5 veces el ingreso mensual por abonados (Bs 1,42 millones). Todo margen absoluto es negativo; el subcaso 02A se resuelve con el ahorro incremental de migrar.</w:t>
            </w:r>
          </w:p>
        </w:tc>
      </w:tr>
      <w:tr>
        <w:trPr>
          <w:cantSplit/>
        </w:trPr>
        <w:tc>
          <w:tcPr>
            <w:tcW w:type="dxa" w:w="2551"/>
          </w:tcPr>
          <w:p>
            <w:r/>
            <w:r>
              <w:rPr>
                <w:sz w:val="17"/>
              </w:rPr>
              <w:t>RedNexo · base de abonados</w:t>
            </w:r>
          </w:p>
        </w:tc>
        <w:tc>
          <w:tcPr>
            <w:tcW w:type="dxa" w:w="7087"/>
          </w:tcPr>
          <w:p>
            <w:r/>
            <w:r>
              <w:rPr>
                <w:sz w:val="17"/>
              </w:rPr>
              <w:t>La base cae de 8.000 abonados en enero de 2023 a 4.390 en diciembre de 2025 sin altas nuevas. Los indicadores de un mes cualquiera deben leerse sobre esa base decreciente.</w:t>
            </w:r>
          </w:p>
        </w:tc>
      </w:tr>
      <w:tr>
        <w:trPr>
          <w:cantSplit/>
        </w:trPr>
        <w:tc>
          <w:tcPr>
            <w:tcW w:type="dxa" w:w="2551"/>
          </w:tcPr>
          <w:p>
            <w:r/>
            <w:r>
              <w:rPr>
                <w:sz w:val="17"/>
              </w:rPr>
              <w:t>AITSA · anomalías de planta</w:t>
            </w:r>
          </w:p>
        </w:tc>
        <w:tc>
          <w:tcPr>
            <w:tcW w:type="dxa" w:w="7087"/>
          </w:tcPr>
          <w:p>
            <w:r/>
            <w:r>
              <w:rPr>
                <w:sz w:val="17"/>
              </w:rPr>
              <w:t>A nivel instalación no hay correlación entre anomalías de telemetría o eventos SCADA y el retrabajo o los desvíos de SLA (|r| ≤ 0,12).</w:t>
            </w:r>
          </w:p>
        </w:tc>
      </w:tr>
      <w:tr>
        <w:trPr>
          <w:cantSplit/>
        </w:trPr>
        <w:tc>
          <w:tcPr>
            <w:tcW w:type="dxa" w:w="2551"/>
          </w:tcPr>
          <w:p>
            <w:r/>
            <w:r>
              <w:rPr>
                <w:sz w:val="17"/>
              </w:rPr>
              <w:t>AndinaLog · inventario</w:t>
            </w:r>
          </w:p>
        </w:tc>
        <w:tc>
          <w:tcPr>
            <w:tcW w:type="dxa" w:w="7087"/>
          </w:tcPr>
          <w:p>
            <w:r/>
            <w:r>
              <w:rPr>
                <w:sz w:val="17"/>
              </w:rPr>
              <w:t>El 13,7 % de los lotes sale después de su fecha de vencimiento y la merma no depende de los días en almacén.</w:t>
            </w:r>
          </w:p>
        </w:tc>
      </w:tr>
      <w:tr>
        <w:trPr>
          <w:cantSplit/>
        </w:trPr>
        <w:tc>
          <w:tcPr>
            <w:tcW w:type="dxa" w:w="2551"/>
          </w:tcPr>
          <w:p>
            <w:r/>
            <w:r>
              <w:rPr>
                <w:sz w:val="17"/>
              </w:rPr>
              <w:t>AndinaLog · telemetría</w:t>
            </w:r>
          </w:p>
        </w:tc>
        <w:tc>
          <w:tcPr>
            <w:tcW w:type="dxa" w:w="7087"/>
          </w:tcPr>
          <w:p>
            <w:r/>
            <w:r>
              <w:rPr>
                <w:sz w:val="17"/>
              </w:rPr>
              <w:t>La puerta abierta no anticipa desviaciones térmicas; la desviación actual y la variación de 30 minutos sí.</w:t>
            </w:r>
          </w:p>
        </w:tc>
      </w:tr>
      <w:tr>
        <w:trPr>
          <w:cantSplit/>
        </w:trPr>
        <w:tc>
          <w:tcPr>
            <w:tcW w:type="dxa" w:w="2551"/>
          </w:tcPr>
          <w:p>
            <w:r>
              <w:rPr>
                <w:sz w:val="17"/>
              </w:rPr>
              <w:t>AITSA · telemetría</w:t>
            </w:r>
          </w:p>
        </w:tc>
        <w:tc>
          <w:tcPr>
            <w:tcW w:type="dxa" w:w="7087"/>
          </w:tcPr>
          <w:p>
            <w:r>
              <w:rPr>
                <w:sz w:val="17"/>
              </w:rPr>
              <w:t>Las lecturas de aitsa_telemetry_silver llegan cada 84 horas (3,5 días) por instalación, no cada 12: 418 lecturas por instalación entre 2022 y 2025. Un promedio diario o semanal tiene pocas lecturas detrás.</w:t>
            </w:r>
          </w:p>
        </w:tc>
      </w:tr>
      <w:tr>
        <w:trPr>
          <w:cantSplit/>
        </w:trPr>
        <w:tc>
          <w:tcPr>
            <w:tcW w:type="dxa" w:w="2551"/>
          </w:tcPr>
          <w:p>
            <w:r>
              <w:rPr>
                <w:sz w:val="17"/>
              </w:rPr>
              <w:t>RedNexo · experiencia de técnicos</w:t>
            </w:r>
          </w:p>
        </w:tc>
        <w:tc>
          <w:tcPr>
            <w:tcW w:type="dxa" w:w="7087"/>
          </w:tcPr>
          <w:p>
            <w:r>
              <w:rPr>
                <w:sz w:val="17"/>
              </w:rPr>
              <w:t>experiencia_redes_opticas cambia de un mes a otro para los 215 técnicos (por ejemplo, de 15 a 2 años). No es experiencia acumulada: es una brecha de calidad de datos, no un criterio de asignación.</w:t>
            </w:r>
          </w:p>
        </w:tc>
      </w:tr>
    </w:tbl>
    <w:p>
      <w:pPr>
        <w:spacing w:after="40"/>
      </w:pPr>
    </w:p>
    <w:sectPr w:rsidR="00B36FA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A3E05D" w14:textId="77777777" w:rsidR="000E55BE" w:rsidRDefault="000E55BE">
      <w:r>
        <w:separator/>
      </w:r>
    </w:p>
  </w:endnote>
  <w:endnote w:type="continuationSeparator" w:id="0">
    <w:p w14:paraId="6ABD2309" w14:textId="77777777" w:rsidR="000E55BE" w:rsidRDefault="000E55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3E0D9" w14:textId="77777777" w:rsidR="00B36FAB" w:rsidRDefault="00000000">
    <w:pPr>
      <w:jc w:val="center"/>
    </w:pPr>
    <w:r>
      <w:rPr>
        <w:color w:val="999999"/>
        <w:sz w:val="15"/>
        <w:szCs w:val="15"/>
      </w:rPr>
      <w:t xml:space="preserve">Página </w:t>
    </w:r>
    <w:r>
      <w:rPr>
        <w:color w:val="999999"/>
        <w:sz w:val="15"/>
        <w:szCs w:val="15"/>
      </w:rPr>
      <w:fldChar w:fldCharType="begin"/>
    </w:r>
    <w:r>
      <w:rPr>
        <w:color w:val="999999"/>
        <w:sz w:val="15"/>
        <w:szCs w:val="15"/>
      </w:rPr>
      <w:instrText>PAGE</w:instrText>
    </w:r>
    <w:r>
      <w:rPr>
        <w:color w:val="999999"/>
        <w:sz w:val="15"/>
        <w:szCs w:val="15"/>
      </w:rPr>
      <w:fldChar w:fldCharType="separate"/>
    </w:r>
    <w:r w:rsidR="00C37CED">
      <w:rPr>
        <w:noProof/>
        <w:color w:val="999999"/>
        <w:sz w:val="15"/>
        <w:szCs w:val="15"/>
      </w:rPr>
      <w:t>1</w:t>
    </w:r>
    <w:r>
      <w:rPr>
        <w:color w:val="999999"/>
        <w:sz w:val="15"/>
        <w:szCs w:val="15"/>
      </w:rPr>
      <w:fldChar w:fldCharType="end"/>
    </w:r>
    <w:r>
      <w:rPr>
        <w:color w:val="999999"/>
        <w:sz w:val="15"/>
        <w:szCs w:val="15"/>
      </w:rPr>
      <w:t xml:space="preserve"> de </w:t>
    </w:r>
    <w:r>
      <w:rPr>
        <w:color w:val="999999"/>
        <w:sz w:val="15"/>
        <w:szCs w:val="15"/>
      </w:rPr>
      <w:fldChar w:fldCharType="begin"/>
    </w:r>
    <w:r>
      <w:rPr>
        <w:color w:val="999999"/>
        <w:sz w:val="15"/>
        <w:szCs w:val="15"/>
      </w:rPr>
      <w:instrText>NUMPAGES</w:instrText>
    </w:r>
    <w:r>
      <w:rPr>
        <w:color w:val="999999"/>
        <w:sz w:val="15"/>
        <w:szCs w:val="15"/>
      </w:rPr>
      <w:fldChar w:fldCharType="separate"/>
    </w:r>
    <w:r w:rsidR="00C37CED">
      <w:rPr>
        <w:noProof/>
        <w:color w:val="999999"/>
        <w:sz w:val="15"/>
        <w:szCs w:val="15"/>
      </w:rPr>
      <w:t>2</w:t>
    </w:r>
    <w:r>
      <w:rPr>
        <w:color w:val="99999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12B2C" w14:textId="77777777" w:rsidR="000E55BE" w:rsidRDefault="000E55BE">
      <w:r>
        <w:separator/>
      </w:r>
    </w:p>
  </w:footnote>
  <w:footnote w:type="continuationSeparator" w:id="0">
    <w:p w14:paraId="34FB83A2" w14:textId="77777777" w:rsidR="000E55BE" w:rsidRDefault="000E55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927B7" w14:textId="77777777" w:rsidR="00B36FAB" w:rsidRDefault="00000000">
    <w:pPr>
      <w:pBdr>
        <w:bottom w:val="single" w:sz="4" w:space="4" w:color="D9D9D9"/>
      </w:pBdr>
      <w:jc w:val="right"/>
    </w:pPr>
    <w:r>
      <w:rPr>
        <w:color w:val="999999"/>
        <w:sz w:val="15"/>
        <w:szCs w:val="15"/>
      </w:rPr>
      <w:t xml:space="preserve">Módulo 4 GIAD — Modelo de datos, relaciones y DAX por </w:t>
    </w:r>
    <w:proofErr w:type="spellStart"/>
    <w:r>
      <w:rPr>
        <w:color w:val="999999"/>
        <w:sz w:val="15"/>
        <w:szCs w:val="15"/>
      </w:rPr>
      <w:t>subcaso</w:t>
    </w:r>
    <w:proofErr w:type="spellEnd"/>
    <w:r>
      <w:rPr>
        <w:color w:val="999999"/>
        <w:sz w:val="15"/>
        <w:szCs w:val="15"/>
      </w:rPr>
      <w:t xml:space="preserve"> (Power 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B40B6"/>
    <w:multiLevelType w:val="hybridMultilevel"/>
    <w:tmpl w:val="A008DFBE"/>
    <w:lvl w:ilvl="0" w:tplc="15D85B84">
      <w:start w:val="1"/>
      <w:numFmt w:val="decimal"/>
      <w:lvlText w:val="%1."/>
      <w:lvlJc w:val="left"/>
      <w:pPr>
        <w:ind w:left="460" w:hanging="260"/>
      </w:pPr>
    </w:lvl>
    <w:lvl w:ilvl="1" w:tplc="2C260A94">
      <w:numFmt w:val="decimal"/>
      <w:lvlText w:val=""/>
      <w:lvlJc w:val="left"/>
    </w:lvl>
    <w:lvl w:ilvl="2" w:tplc="383CA324">
      <w:numFmt w:val="decimal"/>
      <w:lvlText w:val=""/>
      <w:lvlJc w:val="left"/>
    </w:lvl>
    <w:lvl w:ilvl="3" w:tplc="09A8E3DE">
      <w:numFmt w:val="decimal"/>
      <w:lvlText w:val=""/>
      <w:lvlJc w:val="left"/>
    </w:lvl>
    <w:lvl w:ilvl="4" w:tplc="7FC42826">
      <w:numFmt w:val="decimal"/>
      <w:lvlText w:val=""/>
      <w:lvlJc w:val="left"/>
    </w:lvl>
    <w:lvl w:ilvl="5" w:tplc="9C5E32D6">
      <w:numFmt w:val="decimal"/>
      <w:lvlText w:val=""/>
      <w:lvlJc w:val="left"/>
    </w:lvl>
    <w:lvl w:ilvl="6" w:tplc="ADB803EA">
      <w:numFmt w:val="decimal"/>
      <w:lvlText w:val=""/>
      <w:lvlJc w:val="left"/>
    </w:lvl>
    <w:lvl w:ilvl="7" w:tplc="71BCCAB0">
      <w:numFmt w:val="decimal"/>
      <w:lvlText w:val=""/>
      <w:lvlJc w:val="left"/>
    </w:lvl>
    <w:lvl w:ilvl="8" w:tplc="69E26A06">
      <w:numFmt w:val="decimal"/>
      <w:lvlText w:val=""/>
      <w:lvlJc w:val="left"/>
    </w:lvl>
  </w:abstractNum>
  <w:abstractNum w:abstractNumId="1" w15:restartNumberingAfterBreak="0">
    <w:nsid w:val="0F8D3603"/>
    <w:multiLevelType w:val="hybridMultilevel"/>
    <w:tmpl w:val="B1A6E0DE"/>
    <w:lvl w:ilvl="0" w:tplc="57CCBCA8">
      <w:start w:val="1"/>
      <w:numFmt w:val="decimal"/>
      <w:lvlText w:val="%1."/>
      <w:lvlJc w:val="left"/>
      <w:pPr>
        <w:ind w:left="460" w:hanging="260"/>
      </w:pPr>
    </w:lvl>
    <w:lvl w:ilvl="1" w:tplc="27927A62">
      <w:numFmt w:val="decimal"/>
      <w:lvlText w:val=""/>
      <w:lvlJc w:val="left"/>
    </w:lvl>
    <w:lvl w:ilvl="2" w:tplc="73727870">
      <w:numFmt w:val="decimal"/>
      <w:lvlText w:val=""/>
      <w:lvlJc w:val="left"/>
    </w:lvl>
    <w:lvl w:ilvl="3" w:tplc="D1008092">
      <w:numFmt w:val="decimal"/>
      <w:lvlText w:val=""/>
      <w:lvlJc w:val="left"/>
    </w:lvl>
    <w:lvl w:ilvl="4" w:tplc="E36649BA">
      <w:numFmt w:val="decimal"/>
      <w:lvlText w:val=""/>
      <w:lvlJc w:val="left"/>
    </w:lvl>
    <w:lvl w:ilvl="5" w:tplc="E10E96E0">
      <w:numFmt w:val="decimal"/>
      <w:lvlText w:val=""/>
      <w:lvlJc w:val="left"/>
    </w:lvl>
    <w:lvl w:ilvl="6" w:tplc="A574F93C">
      <w:numFmt w:val="decimal"/>
      <w:lvlText w:val=""/>
      <w:lvlJc w:val="left"/>
    </w:lvl>
    <w:lvl w:ilvl="7" w:tplc="081A4CAE">
      <w:numFmt w:val="decimal"/>
      <w:lvlText w:val=""/>
      <w:lvlJc w:val="left"/>
    </w:lvl>
    <w:lvl w:ilvl="8" w:tplc="1E0292A8">
      <w:numFmt w:val="decimal"/>
      <w:lvlText w:val=""/>
      <w:lvlJc w:val="left"/>
    </w:lvl>
  </w:abstractNum>
  <w:abstractNum w:abstractNumId="2" w15:restartNumberingAfterBreak="0">
    <w:nsid w:val="14AC3930"/>
    <w:multiLevelType w:val="hybridMultilevel"/>
    <w:tmpl w:val="300A5040"/>
    <w:lvl w:ilvl="0" w:tplc="FE30046E">
      <w:start w:val="1"/>
      <w:numFmt w:val="decimal"/>
      <w:lvlText w:val="%1."/>
      <w:lvlJc w:val="left"/>
      <w:pPr>
        <w:ind w:left="460" w:hanging="260"/>
      </w:pPr>
    </w:lvl>
    <w:lvl w:ilvl="1" w:tplc="503EDECC">
      <w:numFmt w:val="decimal"/>
      <w:lvlText w:val=""/>
      <w:lvlJc w:val="left"/>
    </w:lvl>
    <w:lvl w:ilvl="2" w:tplc="CAB28CBA">
      <w:numFmt w:val="decimal"/>
      <w:lvlText w:val=""/>
      <w:lvlJc w:val="left"/>
    </w:lvl>
    <w:lvl w:ilvl="3" w:tplc="412E1272">
      <w:numFmt w:val="decimal"/>
      <w:lvlText w:val=""/>
      <w:lvlJc w:val="left"/>
    </w:lvl>
    <w:lvl w:ilvl="4" w:tplc="E848A1EE">
      <w:numFmt w:val="decimal"/>
      <w:lvlText w:val=""/>
      <w:lvlJc w:val="left"/>
    </w:lvl>
    <w:lvl w:ilvl="5" w:tplc="DA966EB4">
      <w:numFmt w:val="decimal"/>
      <w:lvlText w:val=""/>
      <w:lvlJc w:val="left"/>
    </w:lvl>
    <w:lvl w:ilvl="6" w:tplc="674EB1EE">
      <w:numFmt w:val="decimal"/>
      <w:lvlText w:val=""/>
      <w:lvlJc w:val="left"/>
    </w:lvl>
    <w:lvl w:ilvl="7" w:tplc="ACB8C064">
      <w:numFmt w:val="decimal"/>
      <w:lvlText w:val=""/>
      <w:lvlJc w:val="left"/>
    </w:lvl>
    <w:lvl w:ilvl="8" w:tplc="5516C816">
      <w:numFmt w:val="decimal"/>
      <w:lvlText w:val=""/>
      <w:lvlJc w:val="left"/>
    </w:lvl>
  </w:abstractNum>
  <w:abstractNum w:abstractNumId="3" w15:restartNumberingAfterBreak="0">
    <w:nsid w:val="14B76846"/>
    <w:multiLevelType w:val="hybridMultilevel"/>
    <w:tmpl w:val="371C8FE0"/>
    <w:lvl w:ilvl="0" w:tplc="2E1C48CC">
      <w:start w:val="1"/>
      <w:numFmt w:val="decimal"/>
      <w:lvlText w:val="%1."/>
      <w:lvlJc w:val="left"/>
      <w:pPr>
        <w:ind w:left="460" w:hanging="260"/>
      </w:pPr>
    </w:lvl>
    <w:lvl w:ilvl="1" w:tplc="42A41D22">
      <w:numFmt w:val="decimal"/>
      <w:lvlText w:val=""/>
      <w:lvlJc w:val="left"/>
    </w:lvl>
    <w:lvl w:ilvl="2" w:tplc="EA8C95AE">
      <w:numFmt w:val="decimal"/>
      <w:lvlText w:val=""/>
      <w:lvlJc w:val="left"/>
    </w:lvl>
    <w:lvl w:ilvl="3" w:tplc="D85CC138">
      <w:numFmt w:val="decimal"/>
      <w:lvlText w:val=""/>
      <w:lvlJc w:val="left"/>
    </w:lvl>
    <w:lvl w:ilvl="4" w:tplc="31089140">
      <w:numFmt w:val="decimal"/>
      <w:lvlText w:val=""/>
      <w:lvlJc w:val="left"/>
    </w:lvl>
    <w:lvl w:ilvl="5" w:tplc="E56037C0">
      <w:numFmt w:val="decimal"/>
      <w:lvlText w:val=""/>
      <w:lvlJc w:val="left"/>
    </w:lvl>
    <w:lvl w:ilvl="6" w:tplc="424E2022">
      <w:numFmt w:val="decimal"/>
      <w:lvlText w:val=""/>
      <w:lvlJc w:val="left"/>
    </w:lvl>
    <w:lvl w:ilvl="7" w:tplc="162263E2">
      <w:numFmt w:val="decimal"/>
      <w:lvlText w:val=""/>
      <w:lvlJc w:val="left"/>
    </w:lvl>
    <w:lvl w:ilvl="8" w:tplc="31FC0846">
      <w:numFmt w:val="decimal"/>
      <w:lvlText w:val=""/>
      <w:lvlJc w:val="left"/>
    </w:lvl>
  </w:abstractNum>
  <w:abstractNum w:abstractNumId="4" w15:restartNumberingAfterBreak="0">
    <w:nsid w:val="181A53B8"/>
    <w:multiLevelType w:val="hybridMultilevel"/>
    <w:tmpl w:val="0C64AFAC"/>
    <w:lvl w:ilvl="0" w:tplc="EBE0A718">
      <w:start w:val="1"/>
      <w:numFmt w:val="decimal"/>
      <w:lvlText w:val="%1."/>
      <w:lvlJc w:val="left"/>
      <w:pPr>
        <w:ind w:left="460" w:hanging="260"/>
      </w:pPr>
    </w:lvl>
    <w:lvl w:ilvl="1" w:tplc="E620E552">
      <w:numFmt w:val="decimal"/>
      <w:lvlText w:val=""/>
      <w:lvlJc w:val="left"/>
    </w:lvl>
    <w:lvl w:ilvl="2" w:tplc="34669EA2">
      <w:numFmt w:val="decimal"/>
      <w:lvlText w:val=""/>
      <w:lvlJc w:val="left"/>
    </w:lvl>
    <w:lvl w:ilvl="3" w:tplc="5D6216C2">
      <w:numFmt w:val="decimal"/>
      <w:lvlText w:val=""/>
      <w:lvlJc w:val="left"/>
    </w:lvl>
    <w:lvl w:ilvl="4" w:tplc="5F78EFDC">
      <w:numFmt w:val="decimal"/>
      <w:lvlText w:val=""/>
      <w:lvlJc w:val="left"/>
    </w:lvl>
    <w:lvl w:ilvl="5" w:tplc="58286194">
      <w:numFmt w:val="decimal"/>
      <w:lvlText w:val=""/>
      <w:lvlJc w:val="left"/>
    </w:lvl>
    <w:lvl w:ilvl="6" w:tplc="EF3C6910">
      <w:numFmt w:val="decimal"/>
      <w:lvlText w:val=""/>
      <w:lvlJc w:val="left"/>
    </w:lvl>
    <w:lvl w:ilvl="7" w:tplc="130AE096">
      <w:numFmt w:val="decimal"/>
      <w:lvlText w:val=""/>
      <w:lvlJc w:val="left"/>
    </w:lvl>
    <w:lvl w:ilvl="8" w:tplc="6AA2341E">
      <w:numFmt w:val="decimal"/>
      <w:lvlText w:val=""/>
      <w:lvlJc w:val="left"/>
    </w:lvl>
  </w:abstractNum>
  <w:abstractNum w:abstractNumId="5" w15:restartNumberingAfterBreak="0">
    <w:nsid w:val="1C3D0325"/>
    <w:multiLevelType w:val="hybridMultilevel"/>
    <w:tmpl w:val="B70E2742"/>
    <w:lvl w:ilvl="0" w:tplc="726E578A">
      <w:start w:val="1"/>
      <w:numFmt w:val="decimal"/>
      <w:lvlText w:val="%1."/>
      <w:lvlJc w:val="left"/>
      <w:pPr>
        <w:ind w:left="460" w:hanging="260"/>
      </w:pPr>
    </w:lvl>
    <w:lvl w:ilvl="1" w:tplc="A55C63D0">
      <w:numFmt w:val="decimal"/>
      <w:lvlText w:val=""/>
      <w:lvlJc w:val="left"/>
    </w:lvl>
    <w:lvl w:ilvl="2" w:tplc="81E0D818">
      <w:numFmt w:val="decimal"/>
      <w:lvlText w:val=""/>
      <w:lvlJc w:val="left"/>
    </w:lvl>
    <w:lvl w:ilvl="3" w:tplc="8FCE33AA">
      <w:numFmt w:val="decimal"/>
      <w:lvlText w:val=""/>
      <w:lvlJc w:val="left"/>
    </w:lvl>
    <w:lvl w:ilvl="4" w:tplc="4A7E355C">
      <w:numFmt w:val="decimal"/>
      <w:lvlText w:val=""/>
      <w:lvlJc w:val="left"/>
    </w:lvl>
    <w:lvl w:ilvl="5" w:tplc="64D82748">
      <w:numFmt w:val="decimal"/>
      <w:lvlText w:val=""/>
      <w:lvlJc w:val="left"/>
    </w:lvl>
    <w:lvl w:ilvl="6" w:tplc="4BDA5ED6">
      <w:numFmt w:val="decimal"/>
      <w:lvlText w:val=""/>
      <w:lvlJc w:val="left"/>
    </w:lvl>
    <w:lvl w:ilvl="7" w:tplc="928CA9C8">
      <w:numFmt w:val="decimal"/>
      <w:lvlText w:val=""/>
      <w:lvlJc w:val="left"/>
    </w:lvl>
    <w:lvl w:ilvl="8" w:tplc="F5182A50">
      <w:numFmt w:val="decimal"/>
      <w:lvlText w:val=""/>
      <w:lvlJc w:val="left"/>
    </w:lvl>
  </w:abstractNum>
  <w:abstractNum w:abstractNumId="6" w15:restartNumberingAfterBreak="0">
    <w:nsid w:val="28FC74C5"/>
    <w:multiLevelType w:val="hybridMultilevel"/>
    <w:tmpl w:val="14D6B6E8"/>
    <w:lvl w:ilvl="0" w:tplc="8856C702">
      <w:start w:val="1"/>
      <w:numFmt w:val="decimal"/>
      <w:lvlText w:val="%1."/>
      <w:lvlJc w:val="left"/>
      <w:pPr>
        <w:ind w:left="460" w:hanging="260"/>
      </w:pPr>
    </w:lvl>
    <w:lvl w:ilvl="1" w:tplc="4D0292F6">
      <w:numFmt w:val="decimal"/>
      <w:lvlText w:val=""/>
      <w:lvlJc w:val="left"/>
    </w:lvl>
    <w:lvl w:ilvl="2" w:tplc="8FBE0B3A">
      <w:numFmt w:val="decimal"/>
      <w:lvlText w:val=""/>
      <w:lvlJc w:val="left"/>
    </w:lvl>
    <w:lvl w:ilvl="3" w:tplc="1EF274C8">
      <w:numFmt w:val="decimal"/>
      <w:lvlText w:val=""/>
      <w:lvlJc w:val="left"/>
    </w:lvl>
    <w:lvl w:ilvl="4" w:tplc="896ED226">
      <w:numFmt w:val="decimal"/>
      <w:lvlText w:val=""/>
      <w:lvlJc w:val="left"/>
    </w:lvl>
    <w:lvl w:ilvl="5" w:tplc="8BEECF6E">
      <w:numFmt w:val="decimal"/>
      <w:lvlText w:val=""/>
      <w:lvlJc w:val="left"/>
    </w:lvl>
    <w:lvl w:ilvl="6" w:tplc="4AE23338">
      <w:numFmt w:val="decimal"/>
      <w:lvlText w:val=""/>
      <w:lvlJc w:val="left"/>
    </w:lvl>
    <w:lvl w:ilvl="7" w:tplc="6BBA27F2">
      <w:numFmt w:val="decimal"/>
      <w:lvlText w:val=""/>
      <w:lvlJc w:val="left"/>
    </w:lvl>
    <w:lvl w:ilvl="8" w:tplc="F72AB3D8">
      <w:numFmt w:val="decimal"/>
      <w:lvlText w:val=""/>
      <w:lvlJc w:val="left"/>
    </w:lvl>
  </w:abstractNum>
  <w:abstractNum w:abstractNumId="7" w15:restartNumberingAfterBreak="0">
    <w:nsid w:val="43D209CF"/>
    <w:multiLevelType w:val="hybridMultilevel"/>
    <w:tmpl w:val="F7680BEE"/>
    <w:lvl w:ilvl="0" w:tplc="2A44E0FC">
      <w:start w:val="1"/>
      <w:numFmt w:val="decimal"/>
      <w:lvlText w:val="%1."/>
      <w:lvlJc w:val="left"/>
      <w:pPr>
        <w:ind w:left="460" w:hanging="260"/>
      </w:pPr>
    </w:lvl>
    <w:lvl w:ilvl="1" w:tplc="C3A64B12">
      <w:numFmt w:val="decimal"/>
      <w:lvlText w:val=""/>
      <w:lvlJc w:val="left"/>
    </w:lvl>
    <w:lvl w:ilvl="2" w:tplc="70A4DA8C">
      <w:numFmt w:val="decimal"/>
      <w:lvlText w:val=""/>
      <w:lvlJc w:val="left"/>
    </w:lvl>
    <w:lvl w:ilvl="3" w:tplc="DE5AB67A">
      <w:numFmt w:val="decimal"/>
      <w:lvlText w:val=""/>
      <w:lvlJc w:val="left"/>
    </w:lvl>
    <w:lvl w:ilvl="4" w:tplc="D6CCF0D8">
      <w:numFmt w:val="decimal"/>
      <w:lvlText w:val=""/>
      <w:lvlJc w:val="left"/>
    </w:lvl>
    <w:lvl w:ilvl="5" w:tplc="3D8EC5E2">
      <w:numFmt w:val="decimal"/>
      <w:lvlText w:val=""/>
      <w:lvlJc w:val="left"/>
    </w:lvl>
    <w:lvl w:ilvl="6" w:tplc="239EDD38">
      <w:numFmt w:val="decimal"/>
      <w:lvlText w:val=""/>
      <w:lvlJc w:val="left"/>
    </w:lvl>
    <w:lvl w:ilvl="7" w:tplc="4F5CFA44">
      <w:numFmt w:val="decimal"/>
      <w:lvlText w:val=""/>
      <w:lvlJc w:val="left"/>
    </w:lvl>
    <w:lvl w:ilvl="8" w:tplc="94E81C6E">
      <w:numFmt w:val="decimal"/>
      <w:lvlText w:val=""/>
      <w:lvlJc w:val="left"/>
    </w:lvl>
  </w:abstractNum>
  <w:abstractNum w:abstractNumId="8" w15:restartNumberingAfterBreak="0">
    <w:nsid w:val="44BE7C65"/>
    <w:multiLevelType w:val="hybridMultilevel"/>
    <w:tmpl w:val="01AC5BB8"/>
    <w:lvl w:ilvl="0" w:tplc="2E6A1918">
      <w:start w:val="1"/>
      <w:numFmt w:val="decimal"/>
      <w:lvlText w:val="%1."/>
      <w:lvlJc w:val="left"/>
      <w:pPr>
        <w:ind w:left="460" w:hanging="260"/>
      </w:pPr>
    </w:lvl>
    <w:lvl w:ilvl="1" w:tplc="20825E6E">
      <w:numFmt w:val="decimal"/>
      <w:lvlText w:val=""/>
      <w:lvlJc w:val="left"/>
    </w:lvl>
    <w:lvl w:ilvl="2" w:tplc="0F9AF158">
      <w:numFmt w:val="decimal"/>
      <w:lvlText w:val=""/>
      <w:lvlJc w:val="left"/>
    </w:lvl>
    <w:lvl w:ilvl="3" w:tplc="67EA10CA">
      <w:numFmt w:val="decimal"/>
      <w:lvlText w:val=""/>
      <w:lvlJc w:val="left"/>
    </w:lvl>
    <w:lvl w:ilvl="4" w:tplc="932EEE30">
      <w:numFmt w:val="decimal"/>
      <w:lvlText w:val=""/>
      <w:lvlJc w:val="left"/>
    </w:lvl>
    <w:lvl w:ilvl="5" w:tplc="313AC54A">
      <w:numFmt w:val="decimal"/>
      <w:lvlText w:val=""/>
      <w:lvlJc w:val="left"/>
    </w:lvl>
    <w:lvl w:ilvl="6" w:tplc="5068F944">
      <w:numFmt w:val="decimal"/>
      <w:lvlText w:val=""/>
      <w:lvlJc w:val="left"/>
    </w:lvl>
    <w:lvl w:ilvl="7" w:tplc="5A561BBE">
      <w:numFmt w:val="decimal"/>
      <w:lvlText w:val=""/>
      <w:lvlJc w:val="left"/>
    </w:lvl>
    <w:lvl w:ilvl="8" w:tplc="C7B28CE4">
      <w:numFmt w:val="decimal"/>
      <w:lvlText w:val=""/>
      <w:lvlJc w:val="left"/>
    </w:lvl>
  </w:abstractNum>
  <w:abstractNum w:abstractNumId="9" w15:restartNumberingAfterBreak="0">
    <w:nsid w:val="45EC2800"/>
    <w:multiLevelType w:val="hybridMultilevel"/>
    <w:tmpl w:val="82EE6130"/>
    <w:lvl w:ilvl="0" w:tplc="083C3878">
      <w:start w:val="1"/>
      <w:numFmt w:val="decimal"/>
      <w:lvlText w:val="%1."/>
      <w:lvlJc w:val="left"/>
      <w:pPr>
        <w:ind w:left="460" w:hanging="260"/>
      </w:pPr>
    </w:lvl>
    <w:lvl w:ilvl="1" w:tplc="E35CE074">
      <w:numFmt w:val="decimal"/>
      <w:lvlText w:val=""/>
      <w:lvlJc w:val="left"/>
    </w:lvl>
    <w:lvl w:ilvl="2" w:tplc="60505FFE">
      <w:numFmt w:val="decimal"/>
      <w:lvlText w:val=""/>
      <w:lvlJc w:val="left"/>
    </w:lvl>
    <w:lvl w:ilvl="3" w:tplc="0E841D3A">
      <w:numFmt w:val="decimal"/>
      <w:lvlText w:val=""/>
      <w:lvlJc w:val="left"/>
    </w:lvl>
    <w:lvl w:ilvl="4" w:tplc="9474941A">
      <w:numFmt w:val="decimal"/>
      <w:lvlText w:val=""/>
      <w:lvlJc w:val="left"/>
    </w:lvl>
    <w:lvl w:ilvl="5" w:tplc="15F0F662">
      <w:numFmt w:val="decimal"/>
      <w:lvlText w:val=""/>
      <w:lvlJc w:val="left"/>
    </w:lvl>
    <w:lvl w:ilvl="6" w:tplc="D9CAAAE6">
      <w:numFmt w:val="decimal"/>
      <w:lvlText w:val=""/>
      <w:lvlJc w:val="left"/>
    </w:lvl>
    <w:lvl w:ilvl="7" w:tplc="B176B388">
      <w:numFmt w:val="decimal"/>
      <w:lvlText w:val=""/>
      <w:lvlJc w:val="left"/>
    </w:lvl>
    <w:lvl w:ilvl="8" w:tplc="1C4CEC34">
      <w:numFmt w:val="decimal"/>
      <w:lvlText w:val=""/>
      <w:lvlJc w:val="left"/>
    </w:lvl>
  </w:abstractNum>
  <w:abstractNum w:abstractNumId="10" w15:restartNumberingAfterBreak="0">
    <w:nsid w:val="557700AE"/>
    <w:multiLevelType w:val="hybridMultilevel"/>
    <w:tmpl w:val="62ACCFEA"/>
    <w:lvl w:ilvl="0" w:tplc="CDB67598">
      <w:start w:val="1"/>
      <w:numFmt w:val="decimal"/>
      <w:lvlText w:val="%1."/>
      <w:lvlJc w:val="left"/>
      <w:pPr>
        <w:ind w:left="460" w:hanging="260"/>
      </w:pPr>
    </w:lvl>
    <w:lvl w:ilvl="1" w:tplc="CDD4B8B6">
      <w:numFmt w:val="decimal"/>
      <w:lvlText w:val=""/>
      <w:lvlJc w:val="left"/>
    </w:lvl>
    <w:lvl w:ilvl="2" w:tplc="BCF6CA4E">
      <w:numFmt w:val="decimal"/>
      <w:lvlText w:val=""/>
      <w:lvlJc w:val="left"/>
    </w:lvl>
    <w:lvl w:ilvl="3" w:tplc="AB6AAC9E">
      <w:numFmt w:val="decimal"/>
      <w:lvlText w:val=""/>
      <w:lvlJc w:val="left"/>
    </w:lvl>
    <w:lvl w:ilvl="4" w:tplc="D9EE28C6">
      <w:numFmt w:val="decimal"/>
      <w:lvlText w:val=""/>
      <w:lvlJc w:val="left"/>
    </w:lvl>
    <w:lvl w:ilvl="5" w:tplc="B2CA8CF4">
      <w:numFmt w:val="decimal"/>
      <w:lvlText w:val=""/>
      <w:lvlJc w:val="left"/>
    </w:lvl>
    <w:lvl w:ilvl="6" w:tplc="D010A970">
      <w:numFmt w:val="decimal"/>
      <w:lvlText w:val=""/>
      <w:lvlJc w:val="left"/>
    </w:lvl>
    <w:lvl w:ilvl="7" w:tplc="D9F2AFE8">
      <w:numFmt w:val="decimal"/>
      <w:lvlText w:val=""/>
      <w:lvlJc w:val="left"/>
    </w:lvl>
    <w:lvl w:ilvl="8" w:tplc="FEEA1E24">
      <w:numFmt w:val="decimal"/>
      <w:lvlText w:val=""/>
      <w:lvlJc w:val="left"/>
    </w:lvl>
  </w:abstractNum>
  <w:abstractNum w:abstractNumId="11" w15:restartNumberingAfterBreak="0">
    <w:nsid w:val="55E20B18"/>
    <w:multiLevelType w:val="hybridMultilevel"/>
    <w:tmpl w:val="770C7E90"/>
    <w:lvl w:ilvl="0" w:tplc="D8BC585C">
      <w:start w:val="1"/>
      <w:numFmt w:val="decimal"/>
      <w:lvlText w:val="%1."/>
      <w:lvlJc w:val="left"/>
      <w:pPr>
        <w:ind w:left="460" w:hanging="260"/>
      </w:pPr>
    </w:lvl>
    <w:lvl w:ilvl="1" w:tplc="3058E84E">
      <w:numFmt w:val="decimal"/>
      <w:lvlText w:val=""/>
      <w:lvlJc w:val="left"/>
    </w:lvl>
    <w:lvl w:ilvl="2" w:tplc="7E1EC596">
      <w:numFmt w:val="decimal"/>
      <w:lvlText w:val=""/>
      <w:lvlJc w:val="left"/>
    </w:lvl>
    <w:lvl w:ilvl="3" w:tplc="A22C23D2">
      <w:numFmt w:val="decimal"/>
      <w:lvlText w:val=""/>
      <w:lvlJc w:val="left"/>
    </w:lvl>
    <w:lvl w:ilvl="4" w:tplc="AE48B58C">
      <w:numFmt w:val="decimal"/>
      <w:lvlText w:val=""/>
      <w:lvlJc w:val="left"/>
    </w:lvl>
    <w:lvl w:ilvl="5" w:tplc="32425928">
      <w:numFmt w:val="decimal"/>
      <w:lvlText w:val=""/>
      <w:lvlJc w:val="left"/>
    </w:lvl>
    <w:lvl w:ilvl="6" w:tplc="B586766C">
      <w:numFmt w:val="decimal"/>
      <w:lvlText w:val=""/>
      <w:lvlJc w:val="left"/>
    </w:lvl>
    <w:lvl w:ilvl="7" w:tplc="78D28592">
      <w:numFmt w:val="decimal"/>
      <w:lvlText w:val=""/>
      <w:lvlJc w:val="left"/>
    </w:lvl>
    <w:lvl w:ilvl="8" w:tplc="AD620622">
      <w:numFmt w:val="decimal"/>
      <w:lvlText w:val=""/>
      <w:lvlJc w:val="left"/>
    </w:lvl>
  </w:abstractNum>
  <w:abstractNum w:abstractNumId="12" w15:restartNumberingAfterBreak="0">
    <w:nsid w:val="564A15B3"/>
    <w:multiLevelType w:val="hybridMultilevel"/>
    <w:tmpl w:val="70A6E9A4"/>
    <w:lvl w:ilvl="0" w:tplc="F7A89E0E">
      <w:start w:val="1"/>
      <w:numFmt w:val="bullet"/>
      <w:lvlText w:val="●"/>
      <w:lvlJc w:val="left"/>
      <w:pPr>
        <w:ind w:left="720" w:hanging="360"/>
      </w:pPr>
    </w:lvl>
    <w:lvl w:ilvl="1" w:tplc="1D7C9306">
      <w:start w:val="1"/>
      <w:numFmt w:val="bullet"/>
      <w:lvlText w:val="○"/>
      <w:lvlJc w:val="left"/>
      <w:pPr>
        <w:ind w:left="1440" w:hanging="360"/>
      </w:pPr>
    </w:lvl>
    <w:lvl w:ilvl="2" w:tplc="B5FCF702">
      <w:start w:val="1"/>
      <w:numFmt w:val="bullet"/>
      <w:lvlText w:val="■"/>
      <w:lvlJc w:val="left"/>
      <w:pPr>
        <w:ind w:left="2160" w:hanging="360"/>
      </w:pPr>
    </w:lvl>
    <w:lvl w:ilvl="3" w:tplc="C78E303C">
      <w:start w:val="1"/>
      <w:numFmt w:val="bullet"/>
      <w:lvlText w:val="●"/>
      <w:lvlJc w:val="left"/>
      <w:pPr>
        <w:ind w:left="2880" w:hanging="360"/>
      </w:pPr>
    </w:lvl>
    <w:lvl w:ilvl="4" w:tplc="DA8A8C80">
      <w:start w:val="1"/>
      <w:numFmt w:val="bullet"/>
      <w:lvlText w:val="○"/>
      <w:lvlJc w:val="left"/>
      <w:pPr>
        <w:ind w:left="3600" w:hanging="360"/>
      </w:pPr>
    </w:lvl>
    <w:lvl w:ilvl="5" w:tplc="B11292EC">
      <w:start w:val="1"/>
      <w:numFmt w:val="bullet"/>
      <w:lvlText w:val="■"/>
      <w:lvlJc w:val="left"/>
      <w:pPr>
        <w:ind w:left="4320" w:hanging="360"/>
      </w:pPr>
    </w:lvl>
    <w:lvl w:ilvl="6" w:tplc="DDF468D6">
      <w:start w:val="1"/>
      <w:numFmt w:val="bullet"/>
      <w:lvlText w:val="●"/>
      <w:lvlJc w:val="left"/>
      <w:pPr>
        <w:ind w:left="5040" w:hanging="360"/>
      </w:pPr>
    </w:lvl>
    <w:lvl w:ilvl="7" w:tplc="52341754">
      <w:start w:val="1"/>
      <w:numFmt w:val="bullet"/>
      <w:lvlText w:val="●"/>
      <w:lvlJc w:val="left"/>
      <w:pPr>
        <w:ind w:left="5760" w:hanging="360"/>
      </w:pPr>
    </w:lvl>
    <w:lvl w:ilvl="8" w:tplc="3DF8D892">
      <w:start w:val="1"/>
      <w:numFmt w:val="bullet"/>
      <w:lvlText w:val="●"/>
      <w:lvlJc w:val="left"/>
      <w:pPr>
        <w:ind w:left="6480" w:hanging="360"/>
      </w:pPr>
    </w:lvl>
  </w:abstractNum>
  <w:abstractNum w:abstractNumId="13" w15:restartNumberingAfterBreak="0">
    <w:nsid w:val="579420E8"/>
    <w:multiLevelType w:val="hybridMultilevel"/>
    <w:tmpl w:val="4E8E1E7A"/>
    <w:lvl w:ilvl="0" w:tplc="8CDEC9CE">
      <w:start w:val="1"/>
      <w:numFmt w:val="decimal"/>
      <w:lvlText w:val="%1."/>
      <w:lvlJc w:val="left"/>
      <w:pPr>
        <w:ind w:left="460" w:hanging="260"/>
      </w:pPr>
    </w:lvl>
    <w:lvl w:ilvl="1" w:tplc="60A87FA8">
      <w:numFmt w:val="decimal"/>
      <w:lvlText w:val=""/>
      <w:lvlJc w:val="left"/>
    </w:lvl>
    <w:lvl w:ilvl="2" w:tplc="B94655FA">
      <w:numFmt w:val="decimal"/>
      <w:lvlText w:val=""/>
      <w:lvlJc w:val="left"/>
    </w:lvl>
    <w:lvl w:ilvl="3" w:tplc="C096BDAA">
      <w:numFmt w:val="decimal"/>
      <w:lvlText w:val=""/>
      <w:lvlJc w:val="left"/>
    </w:lvl>
    <w:lvl w:ilvl="4" w:tplc="C622862A">
      <w:numFmt w:val="decimal"/>
      <w:lvlText w:val=""/>
      <w:lvlJc w:val="left"/>
    </w:lvl>
    <w:lvl w:ilvl="5" w:tplc="6F464C48">
      <w:numFmt w:val="decimal"/>
      <w:lvlText w:val=""/>
      <w:lvlJc w:val="left"/>
    </w:lvl>
    <w:lvl w:ilvl="6" w:tplc="D9B48E24">
      <w:numFmt w:val="decimal"/>
      <w:lvlText w:val=""/>
      <w:lvlJc w:val="left"/>
    </w:lvl>
    <w:lvl w:ilvl="7" w:tplc="9F82B336">
      <w:numFmt w:val="decimal"/>
      <w:lvlText w:val=""/>
      <w:lvlJc w:val="left"/>
    </w:lvl>
    <w:lvl w:ilvl="8" w:tplc="B030AF4A">
      <w:numFmt w:val="decimal"/>
      <w:lvlText w:val=""/>
      <w:lvlJc w:val="left"/>
    </w:lvl>
  </w:abstractNum>
  <w:abstractNum w:abstractNumId="14" w15:restartNumberingAfterBreak="0">
    <w:nsid w:val="5C1F6AD3"/>
    <w:multiLevelType w:val="hybridMultilevel"/>
    <w:tmpl w:val="CE786B84"/>
    <w:lvl w:ilvl="0" w:tplc="3CFC0BAA">
      <w:start w:val="1"/>
      <w:numFmt w:val="decimal"/>
      <w:lvlText w:val="%1."/>
      <w:lvlJc w:val="left"/>
      <w:pPr>
        <w:ind w:left="460" w:hanging="260"/>
      </w:pPr>
    </w:lvl>
    <w:lvl w:ilvl="1" w:tplc="E1F8843A">
      <w:numFmt w:val="decimal"/>
      <w:lvlText w:val=""/>
      <w:lvlJc w:val="left"/>
    </w:lvl>
    <w:lvl w:ilvl="2" w:tplc="118A5B2C">
      <w:numFmt w:val="decimal"/>
      <w:lvlText w:val=""/>
      <w:lvlJc w:val="left"/>
    </w:lvl>
    <w:lvl w:ilvl="3" w:tplc="3CD64E78">
      <w:numFmt w:val="decimal"/>
      <w:lvlText w:val=""/>
      <w:lvlJc w:val="left"/>
    </w:lvl>
    <w:lvl w:ilvl="4" w:tplc="C0E0EDB4">
      <w:numFmt w:val="decimal"/>
      <w:lvlText w:val=""/>
      <w:lvlJc w:val="left"/>
    </w:lvl>
    <w:lvl w:ilvl="5" w:tplc="CF00E106">
      <w:numFmt w:val="decimal"/>
      <w:lvlText w:val=""/>
      <w:lvlJc w:val="left"/>
    </w:lvl>
    <w:lvl w:ilvl="6" w:tplc="35A69178">
      <w:numFmt w:val="decimal"/>
      <w:lvlText w:val=""/>
      <w:lvlJc w:val="left"/>
    </w:lvl>
    <w:lvl w:ilvl="7" w:tplc="1764C636">
      <w:numFmt w:val="decimal"/>
      <w:lvlText w:val=""/>
      <w:lvlJc w:val="left"/>
    </w:lvl>
    <w:lvl w:ilvl="8" w:tplc="A8125B62">
      <w:numFmt w:val="decimal"/>
      <w:lvlText w:val=""/>
      <w:lvlJc w:val="left"/>
    </w:lvl>
  </w:abstractNum>
  <w:abstractNum w:abstractNumId="15" w15:restartNumberingAfterBreak="0">
    <w:nsid w:val="60851251"/>
    <w:multiLevelType w:val="hybridMultilevel"/>
    <w:tmpl w:val="A1024450"/>
    <w:lvl w:ilvl="0" w:tplc="35F0A90A">
      <w:start w:val="1"/>
      <w:numFmt w:val="decimal"/>
      <w:lvlText w:val="%1."/>
      <w:lvlJc w:val="left"/>
      <w:pPr>
        <w:ind w:left="460" w:hanging="260"/>
      </w:pPr>
    </w:lvl>
    <w:lvl w:ilvl="1" w:tplc="50DA23FA">
      <w:numFmt w:val="decimal"/>
      <w:lvlText w:val=""/>
      <w:lvlJc w:val="left"/>
    </w:lvl>
    <w:lvl w:ilvl="2" w:tplc="A74A49BE">
      <w:numFmt w:val="decimal"/>
      <w:lvlText w:val=""/>
      <w:lvlJc w:val="left"/>
    </w:lvl>
    <w:lvl w:ilvl="3" w:tplc="654CA7F8">
      <w:numFmt w:val="decimal"/>
      <w:lvlText w:val=""/>
      <w:lvlJc w:val="left"/>
    </w:lvl>
    <w:lvl w:ilvl="4" w:tplc="560691C6">
      <w:numFmt w:val="decimal"/>
      <w:lvlText w:val=""/>
      <w:lvlJc w:val="left"/>
    </w:lvl>
    <w:lvl w:ilvl="5" w:tplc="FAEA747E">
      <w:numFmt w:val="decimal"/>
      <w:lvlText w:val=""/>
      <w:lvlJc w:val="left"/>
    </w:lvl>
    <w:lvl w:ilvl="6" w:tplc="6EB80BD4">
      <w:numFmt w:val="decimal"/>
      <w:lvlText w:val=""/>
      <w:lvlJc w:val="left"/>
    </w:lvl>
    <w:lvl w:ilvl="7" w:tplc="023C16F8">
      <w:numFmt w:val="decimal"/>
      <w:lvlText w:val=""/>
      <w:lvlJc w:val="left"/>
    </w:lvl>
    <w:lvl w:ilvl="8" w:tplc="68260C78">
      <w:numFmt w:val="decimal"/>
      <w:lvlText w:val=""/>
      <w:lvlJc w:val="left"/>
    </w:lvl>
  </w:abstractNum>
  <w:abstractNum w:abstractNumId="16" w15:restartNumberingAfterBreak="0">
    <w:nsid w:val="629A0842"/>
    <w:multiLevelType w:val="hybridMultilevel"/>
    <w:tmpl w:val="17B6FAA2"/>
    <w:lvl w:ilvl="0" w:tplc="D5C2147C">
      <w:start w:val="1"/>
      <w:numFmt w:val="decimal"/>
      <w:lvlText w:val="%1."/>
      <w:lvlJc w:val="left"/>
      <w:pPr>
        <w:ind w:left="460" w:hanging="260"/>
      </w:pPr>
    </w:lvl>
    <w:lvl w:ilvl="1" w:tplc="38185A62">
      <w:numFmt w:val="decimal"/>
      <w:lvlText w:val=""/>
      <w:lvlJc w:val="left"/>
    </w:lvl>
    <w:lvl w:ilvl="2" w:tplc="BEF06F98">
      <w:numFmt w:val="decimal"/>
      <w:lvlText w:val=""/>
      <w:lvlJc w:val="left"/>
    </w:lvl>
    <w:lvl w:ilvl="3" w:tplc="A176BE62">
      <w:numFmt w:val="decimal"/>
      <w:lvlText w:val=""/>
      <w:lvlJc w:val="left"/>
    </w:lvl>
    <w:lvl w:ilvl="4" w:tplc="2CA63718">
      <w:numFmt w:val="decimal"/>
      <w:lvlText w:val=""/>
      <w:lvlJc w:val="left"/>
    </w:lvl>
    <w:lvl w:ilvl="5" w:tplc="0A247802">
      <w:numFmt w:val="decimal"/>
      <w:lvlText w:val=""/>
      <w:lvlJc w:val="left"/>
    </w:lvl>
    <w:lvl w:ilvl="6" w:tplc="7496F8F2">
      <w:numFmt w:val="decimal"/>
      <w:lvlText w:val=""/>
      <w:lvlJc w:val="left"/>
    </w:lvl>
    <w:lvl w:ilvl="7" w:tplc="0B9A581E">
      <w:numFmt w:val="decimal"/>
      <w:lvlText w:val=""/>
      <w:lvlJc w:val="left"/>
    </w:lvl>
    <w:lvl w:ilvl="8" w:tplc="021402DA">
      <w:numFmt w:val="decimal"/>
      <w:lvlText w:val=""/>
      <w:lvlJc w:val="left"/>
    </w:lvl>
  </w:abstractNum>
  <w:abstractNum w:abstractNumId="17" w15:restartNumberingAfterBreak="0">
    <w:nsid w:val="6FA4392E"/>
    <w:multiLevelType w:val="hybridMultilevel"/>
    <w:tmpl w:val="AC1419D6"/>
    <w:lvl w:ilvl="0" w:tplc="AA38A83A">
      <w:start w:val="1"/>
      <w:numFmt w:val="decimal"/>
      <w:lvlText w:val="%1."/>
      <w:lvlJc w:val="left"/>
      <w:pPr>
        <w:ind w:left="460" w:hanging="260"/>
      </w:pPr>
    </w:lvl>
    <w:lvl w:ilvl="1" w:tplc="3440ED22">
      <w:numFmt w:val="decimal"/>
      <w:lvlText w:val=""/>
      <w:lvlJc w:val="left"/>
    </w:lvl>
    <w:lvl w:ilvl="2" w:tplc="B5807F0C">
      <w:numFmt w:val="decimal"/>
      <w:lvlText w:val=""/>
      <w:lvlJc w:val="left"/>
    </w:lvl>
    <w:lvl w:ilvl="3" w:tplc="57EC6CC4">
      <w:numFmt w:val="decimal"/>
      <w:lvlText w:val=""/>
      <w:lvlJc w:val="left"/>
    </w:lvl>
    <w:lvl w:ilvl="4" w:tplc="15A80C9A">
      <w:numFmt w:val="decimal"/>
      <w:lvlText w:val=""/>
      <w:lvlJc w:val="left"/>
    </w:lvl>
    <w:lvl w:ilvl="5" w:tplc="BE287B30">
      <w:numFmt w:val="decimal"/>
      <w:lvlText w:val=""/>
      <w:lvlJc w:val="left"/>
    </w:lvl>
    <w:lvl w:ilvl="6" w:tplc="6C00D524">
      <w:numFmt w:val="decimal"/>
      <w:lvlText w:val=""/>
      <w:lvlJc w:val="left"/>
    </w:lvl>
    <w:lvl w:ilvl="7" w:tplc="3D2AF3E0">
      <w:numFmt w:val="decimal"/>
      <w:lvlText w:val=""/>
      <w:lvlJc w:val="left"/>
    </w:lvl>
    <w:lvl w:ilvl="8" w:tplc="5B928700">
      <w:numFmt w:val="decimal"/>
      <w:lvlText w:val=""/>
      <w:lvlJc w:val="left"/>
    </w:lvl>
  </w:abstractNum>
  <w:abstractNum w:abstractNumId="18" w15:restartNumberingAfterBreak="0">
    <w:nsid w:val="7B0845A1"/>
    <w:multiLevelType w:val="hybridMultilevel"/>
    <w:tmpl w:val="F32EEB7C"/>
    <w:lvl w:ilvl="0" w:tplc="7F7087D8">
      <w:start w:val="1"/>
      <w:numFmt w:val="decimal"/>
      <w:lvlText w:val="%1."/>
      <w:lvlJc w:val="left"/>
      <w:pPr>
        <w:ind w:left="460" w:hanging="260"/>
      </w:pPr>
    </w:lvl>
    <w:lvl w:ilvl="1" w:tplc="CFA0CB2C">
      <w:numFmt w:val="decimal"/>
      <w:lvlText w:val=""/>
      <w:lvlJc w:val="left"/>
    </w:lvl>
    <w:lvl w:ilvl="2" w:tplc="CAA23426">
      <w:numFmt w:val="decimal"/>
      <w:lvlText w:val=""/>
      <w:lvlJc w:val="left"/>
    </w:lvl>
    <w:lvl w:ilvl="3" w:tplc="26724754">
      <w:numFmt w:val="decimal"/>
      <w:lvlText w:val=""/>
      <w:lvlJc w:val="left"/>
    </w:lvl>
    <w:lvl w:ilvl="4" w:tplc="C94A9F60">
      <w:numFmt w:val="decimal"/>
      <w:lvlText w:val=""/>
      <w:lvlJc w:val="left"/>
    </w:lvl>
    <w:lvl w:ilvl="5" w:tplc="C4F8E414">
      <w:numFmt w:val="decimal"/>
      <w:lvlText w:val=""/>
      <w:lvlJc w:val="left"/>
    </w:lvl>
    <w:lvl w:ilvl="6" w:tplc="6C4E88DA">
      <w:numFmt w:val="decimal"/>
      <w:lvlText w:val=""/>
      <w:lvlJc w:val="left"/>
    </w:lvl>
    <w:lvl w:ilvl="7" w:tplc="A3C2F30C">
      <w:numFmt w:val="decimal"/>
      <w:lvlText w:val=""/>
      <w:lvlJc w:val="left"/>
    </w:lvl>
    <w:lvl w:ilvl="8" w:tplc="B04CCA0C">
      <w:numFmt w:val="decimal"/>
      <w:lvlText w:val=""/>
      <w:lvlJc w:val="left"/>
    </w:lvl>
  </w:abstractNum>
  <w:num w:numId="1" w16cid:durableId="2120103703">
    <w:abstractNumId w:val="12"/>
    <w:lvlOverride w:ilvl="0">
      <w:startOverride w:val="1"/>
    </w:lvlOverride>
  </w:num>
  <w:num w:numId="2" w16cid:durableId="470290310">
    <w:abstractNumId w:val="3"/>
    <w:lvlOverride w:ilvl="0">
      <w:startOverride w:val="1"/>
    </w:lvlOverride>
  </w:num>
  <w:num w:numId="3" w16cid:durableId="1893496483">
    <w:abstractNumId w:val="11"/>
    <w:lvlOverride w:ilvl="0">
      <w:startOverride w:val="1"/>
    </w:lvlOverride>
  </w:num>
  <w:num w:numId="4" w16cid:durableId="1008099332">
    <w:abstractNumId w:val="1"/>
    <w:lvlOverride w:ilvl="0">
      <w:startOverride w:val="1"/>
    </w:lvlOverride>
  </w:num>
  <w:num w:numId="5" w16cid:durableId="1980498849">
    <w:abstractNumId w:val="10"/>
    <w:lvlOverride w:ilvl="0">
      <w:startOverride w:val="1"/>
    </w:lvlOverride>
  </w:num>
  <w:num w:numId="6" w16cid:durableId="875652896">
    <w:abstractNumId w:val="0"/>
    <w:lvlOverride w:ilvl="0">
      <w:startOverride w:val="1"/>
    </w:lvlOverride>
  </w:num>
  <w:num w:numId="7" w16cid:durableId="1089888944">
    <w:abstractNumId w:val="2"/>
    <w:lvlOverride w:ilvl="0">
      <w:startOverride w:val="1"/>
    </w:lvlOverride>
  </w:num>
  <w:num w:numId="8" w16cid:durableId="1888057909">
    <w:abstractNumId w:val="17"/>
    <w:lvlOverride w:ilvl="0">
      <w:startOverride w:val="1"/>
    </w:lvlOverride>
  </w:num>
  <w:num w:numId="9" w16cid:durableId="1909220828">
    <w:abstractNumId w:val="6"/>
    <w:lvlOverride w:ilvl="0">
      <w:startOverride w:val="1"/>
    </w:lvlOverride>
  </w:num>
  <w:num w:numId="10" w16cid:durableId="27335078">
    <w:abstractNumId w:val="5"/>
    <w:lvlOverride w:ilvl="0">
      <w:startOverride w:val="1"/>
    </w:lvlOverride>
  </w:num>
  <w:num w:numId="11" w16cid:durableId="1909262585">
    <w:abstractNumId w:val="18"/>
    <w:lvlOverride w:ilvl="0">
      <w:startOverride w:val="1"/>
    </w:lvlOverride>
  </w:num>
  <w:num w:numId="12" w16cid:durableId="2126266982">
    <w:abstractNumId w:val="13"/>
    <w:lvlOverride w:ilvl="0">
      <w:startOverride w:val="1"/>
    </w:lvlOverride>
  </w:num>
  <w:num w:numId="13" w16cid:durableId="676420532">
    <w:abstractNumId w:val="15"/>
    <w:lvlOverride w:ilvl="0">
      <w:startOverride w:val="1"/>
    </w:lvlOverride>
  </w:num>
  <w:num w:numId="14" w16cid:durableId="2046101494">
    <w:abstractNumId w:val="9"/>
    <w:lvlOverride w:ilvl="0">
      <w:startOverride w:val="1"/>
    </w:lvlOverride>
  </w:num>
  <w:num w:numId="15" w16cid:durableId="1650549271">
    <w:abstractNumId w:val="7"/>
    <w:lvlOverride w:ilvl="0">
      <w:startOverride w:val="1"/>
    </w:lvlOverride>
  </w:num>
  <w:num w:numId="16" w16cid:durableId="1886791782">
    <w:abstractNumId w:val="4"/>
    <w:lvlOverride w:ilvl="0">
      <w:startOverride w:val="1"/>
    </w:lvlOverride>
  </w:num>
  <w:num w:numId="17" w16cid:durableId="1264342085">
    <w:abstractNumId w:val="8"/>
    <w:lvlOverride w:ilvl="0">
      <w:startOverride w:val="1"/>
    </w:lvlOverride>
  </w:num>
  <w:num w:numId="18" w16cid:durableId="1314216262">
    <w:abstractNumId w:val="14"/>
    <w:lvlOverride w:ilvl="0">
      <w:startOverride w:val="1"/>
    </w:lvlOverride>
  </w:num>
  <w:num w:numId="19" w16cid:durableId="1981766751">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FAB"/>
    <w:rsid w:val="000E55BE"/>
    <w:rsid w:val="00582CEF"/>
    <w:rsid w:val="00B36FAB"/>
    <w:rsid w:val="00C37CED"/>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844A8"/>
  <w15:docId w15:val="{D8B9F539-FD86-4E3B-B2BA-64969D2F4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160"/>
      <w:outlineLvl w:val="0"/>
    </w:pPr>
    <w:rPr>
      <w:b/>
      <w:bCs/>
      <w:color w:val="20603D"/>
      <w:sz w:val="32"/>
      <w:szCs w:val="32"/>
    </w:rPr>
  </w:style>
  <w:style w:type="paragraph" w:styleId="Heading2">
    <w:name w:val="heading 2"/>
    <w:uiPriority w:val="9"/>
    <w:unhideWhenUsed/>
    <w:qFormat/>
    <w:pPr>
      <w:spacing w:before="260" w:after="100"/>
      <w:outlineLvl w:val="1"/>
    </w:pPr>
    <w:rPr>
      <w:b/>
      <w:bCs/>
      <w:color w:val="2F7D4F"/>
      <w:sz w:val="25"/>
      <w:szCs w:val="25"/>
    </w:rPr>
  </w:style>
  <w:style w:type="paragraph" w:styleId="Heading3">
    <w:name w:val="heading 3"/>
    <w:uiPriority w:val="9"/>
    <w:unhideWhenUsed/>
    <w:qFormat/>
    <w:pPr>
      <w:spacing w:before="180" w:after="80"/>
      <w:outlineLvl w:val="2"/>
    </w:pPr>
    <w:rPr>
      <w:b/>
      <w:bCs/>
      <w:color w:val="3333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6768</Words>
  <Characters>37226</Characters>
  <Application>Microsoft Office Word</Application>
  <DocSecurity>0</DocSecurity>
  <Lines>310</Lines>
  <Paragraphs>87</Paragraphs>
  <ScaleCrop>false</ScaleCrop>
  <Company/>
  <LinksUpToDate>false</LinksUpToDate>
  <CharactersWithSpaces>43907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Marcos Peredo</cp:lastModifiedBy>
  <cp:revision>3</cp:revision>
  <dcterms:created xsi:type="dcterms:W3CDTF">2026-09-12T06:12:00Z</dcterms:created>
  <dcterms:modified xsi:type="dcterms:W3CDTF">2026-09-12T06:17:00Z</dcterms:modified>
</cp:coreProperties>
</file>