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E07A1F"/>
          <w:sz w:val="16"/>
        </w:rPr>
        <w:t>GIAD · MÓDULO 4 · HOJA DE REFERENCIA</w:t>
      </w:r>
    </w:p>
    <w:p>
      <w:pPr>
        <w:spacing w:after="40"/>
      </w:pPr>
      <w:r>
        <w:rPr>
          <w:b/>
          <w:i w:val="0"/>
          <w:color w:val="1F3A5F"/>
          <w:sz w:val="40"/>
        </w:rPr>
        <w:t>KPI · qué son y cuáles se usan en la industria</w:t>
      </w:r>
    </w:p>
    <w:p>
      <w:pPr>
        <w:spacing w:after="120"/>
      </w:pPr>
      <w:r>
        <w:rPr>
          <w:b w:val="0"/>
          <w:i w:val="0"/>
          <w:color w:val="555555"/>
          <w:sz w:val="18"/>
        </w:rPr>
        <w:t>Sesiones 01 a 13. Base para la ficha de KPI del Proyecto Integrador y para el Módulo 5 (mapa estratégico, POA, OKR, presupuesto y control de gestión).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F3A5F"/>
          <w:left w:val="single" w:sz="4" w:color="1F3A5F"/>
          <w:bottom w:val="single" w:sz="4" w:color="1F3A5F"/>
          <w:right w:val="single" w:sz="4" w:color="1F3A5F"/>
          <w:insideH w:val="single" w:sz="4" w:color="1F3A5F"/>
          <w:insideV w:val="single" w:sz="4" w:color="1F3A5F"/>
        </w:tblBorders>
        <w:tblLayout w:type="fixed"/>
      </w:tblPr>
      <w:tblGrid>
        <w:gridCol w:w="2227"/>
        <w:gridCol w:w="6098"/>
        <w:gridCol w:w="5621"/>
      </w:tblGrid>
      <w:tr>
        <w:tc>
          <w:tcPr>
            <w:tcW w:type="dxa" w:w="222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6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es</w:t>
            </w:r>
          </w:p>
        </w:tc>
        <w:tc>
          <w:tcPr>
            <w:tcW w:type="dxa" w:w="562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Ejemplo con Acería Andina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sz w:val="17"/>
              </w:rPr>
              <w:t>Cualquier medida cuantitativa. Describe, pero no dice si está bien o mal.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Vibración del motor: 4,8 mm/s · toneladas producidas en el turno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sz w:val="17"/>
              </w:rPr>
              <w:t>Métrica comparada contra una referencia: otro periodo, otra línea o un umbral.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Paradas de este mes frente al mes anterior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b/>
                <w:sz w:val="17"/>
              </w:rPr>
              <w:t>KPI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sz w:val="17"/>
              </w:rPr>
              <w:t>Indicador elegido porque apoya una decisión clave. Tiene fórmula única, meta, umbrales y responsable. Son pocos: 5 a 8 por tablero.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OEE de COMP-04: 77,7 % frente a una meta de 85 %; responde el jefe de línea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b/>
                <w:sz w:val="17"/>
              </w:rPr>
              <w:t>Resultado clave (OKR, Módulo 5)</w:t>
            </w:r>
          </w:p>
        </w:tc>
        <w:tc>
          <w:tcPr>
            <w:tcW w:type="dxa" w:w="6098"/>
          </w:tcPr>
          <w:p>
            <w:pPr>
              <w:spacing w:after="0"/>
            </w:pPr>
            <w:r>
              <w:rPr>
                <w:sz w:val="17"/>
              </w:rPr>
              <w:t>Meta de cambio con plazo sobre un KPI. El KPI se mide siempre; el resultado clave se cumple o no en el trimestre.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Subir el OEE de 77,7 % a 80 % este trimestre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1F3A5F"/>
          <w:sz w:val="22"/>
        </w:rPr>
        <w:t>Catálogo de KPI industriales frecuentes</w:t>
      </w:r>
    </w:p>
    <w:p>
      <w:pPr>
        <w:spacing w:after="60"/>
      </w:pPr>
      <w:r>
        <w:rPr>
          <w:b w:val="0"/>
          <w:i/>
          <w:color w:val="555555"/>
          <w:sz w:val="16"/>
        </w:rPr>
        <w:t>↑ más es mejor · ↓ menos es mejor. Tipo: un impulsor se mueve antes y explica un resultado. La perspectiva es una sugerencia para el mapa estratégico del Módulo 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F3A5F"/>
          <w:left w:val="single" w:sz="4" w:color="1F3A5F"/>
          <w:bottom w:val="single" w:sz="4" w:color="1F3A5F"/>
          <w:right w:val="single" w:sz="4" w:color="1F3A5F"/>
          <w:insideH w:val="single" w:sz="4" w:color="1F3A5F"/>
          <w:insideV w:val="single" w:sz="4" w:color="1F3A5F"/>
        </w:tblBorders>
        <w:tblLayout w:type="fixed"/>
      </w:tblPr>
      <w:tblGrid>
        <w:gridCol w:w="2439"/>
        <w:gridCol w:w="4454"/>
        <w:gridCol w:w="955"/>
        <w:gridCol w:w="1167"/>
        <w:gridCol w:w="1008"/>
        <w:gridCol w:w="2068"/>
        <w:gridCol w:w="1856"/>
      </w:tblGrid>
      <w:tr>
        <w:tc>
          <w:tcPr>
            <w:tcW w:type="dxa" w:w="243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445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95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116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Polaridad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06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Perspectiva sugerida</w:t>
            </w:r>
          </w:p>
        </w:tc>
        <w:tc>
          <w:tcPr>
            <w:tcW w:type="dxa" w:w="185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Dónde aparece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OPERACIÓN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OEE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Disponibilidad × Rendimiento × Calidad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Acería (S07–S10)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Disponibilidad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Tiempo operativo ÷ tiempo planificado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Acería (S07)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Cumplimiento del plan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Producción real ÷ producción planificada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 hasta 100 %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MANTENIMIENTO Y SERVICIO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MTBF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Horas de operación ÷ número de fallas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MTTR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Horas de reparación ÷ número de reparaciones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02A · 02B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Incumplimiento de SLA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Tickets fuera de plazo ÷ tickets cerrados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01B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CALIDAD Y ENERGÍA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% Scrap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Unidades rechazadas ÷ unidades producidas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Acería (S10)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Consumo específico de energía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kWh consumidos ÷ toneladas producidas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kWh/t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CADENA Y CLIENTES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OTIF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Pedidos a tiempo y completos ÷ pedidos totales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03A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Satisfacción del cliente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Promedio de la encuesta (escala 1–5), con el número de encuestas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puntos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03A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Tasa de churn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Bajas del periodo ÷ clientes al inicio del periodo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02A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Merma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Valor perdido ÷ valor ingresado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Procesos internos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03A · 03B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FINANZAS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Margen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(Ingreso − costo) ÷ ingreso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%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Financiera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01A · 03A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Costo por tonelada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Costo total ÷ toneladas producidas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Bs/t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Financiera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Acería (S02)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VAN y payback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Flujos descontados de una inversión · meses para recuperarla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Bs · meses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↑ · 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Financiera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02A · Acería (S10)</w:t>
            </w:r>
          </w:p>
        </w:tc>
      </w:tr>
      <w:tr>
        <w:tc>
          <w:tcPr>
            <w:tcW w:type="dxa" w:w="1856"/>
            <w:gridSpan w:val="7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5"/>
              </w:rPr>
              <w:t>PERSONAS Y SEGURIDAD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Frecuencia de accidentes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Accidentes con baja × 1.000.000 ÷ horas trabajadas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índice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Aprendizaje y crecimiento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39"/>
          </w:tcPr>
          <w:p>
            <w:pPr>
              <w:spacing w:after="0"/>
            </w:pPr>
            <w:r>
              <w:rPr>
                <w:b/>
                <w:sz w:val="16"/>
              </w:rPr>
              <w:t>Brecha de competencia</w:t>
            </w:r>
          </w:p>
        </w:tc>
        <w:tc>
          <w:tcPr>
            <w:tcW w:type="dxa" w:w="4454"/>
          </w:tcPr>
          <w:p>
            <w:pPr>
              <w:spacing w:after="0"/>
            </w:pPr>
            <w:r>
              <w:rPr>
                <w:sz w:val="16"/>
              </w:rPr>
              <w:t>Nivel requerido − nivel del técnico asignado</w:t>
            </w:r>
          </w:p>
        </w:tc>
        <w:tc>
          <w:tcPr>
            <w:tcW w:type="dxa" w:w="955"/>
          </w:tcPr>
          <w:p>
            <w:pPr>
              <w:spacing w:after="0"/>
            </w:pPr>
            <w:r>
              <w:rPr>
                <w:sz w:val="16"/>
              </w:rPr>
              <w:t>niveles</w:t>
            </w:r>
          </w:p>
        </w:tc>
        <w:tc>
          <w:tcPr>
            <w:tcW w:type="dxa" w:w="1167"/>
          </w:tcPr>
          <w:p>
            <w:pPr>
              <w:spacing w:after="0"/>
            </w:pPr>
            <w:r>
              <w:rPr>
                <w:sz w:val="16"/>
              </w:rPr>
              <w:t>↓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6"/>
              </w:rPr>
              <w:t>Impulsor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sz w:val="16"/>
              </w:rPr>
              <w:t>Aprendizaje y crecimiento</w:t>
            </w:r>
          </w:p>
        </w:tc>
        <w:tc>
          <w:tcPr>
            <w:tcW w:type="dxa" w:w="1856"/>
          </w:tcPr>
          <w:p>
            <w:pPr>
              <w:spacing w:after="0"/>
            </w:pPr>
            <w:r>
              <w:rPr>
                <w:sz w:val="16"/>
              </w:rPr>
              <w:t>01B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i w:val="0"/>
          <w:color w:val="1F3A5F"/>
          <w:sz w:val="22"/>
        </w:rPr>
        <w:t>Diseñar un KPI en nueve pasos</w:t>
      </w:r>
    </w:p>
    <w:p>
      <w:pPr>
        <w:spacing w:after="60"/>
      </w:pPr>
      <w:r>
        <w:rPr>
          <w:b w:val="0"/>
          <w:i w:val="0"/>
          <w:color w:val="555555"/>
          <w:sz w:val="17"/>
        </w:rPr>
        <w:t>Cada paso es un campo de la hoja «Fichas KPI» de la plantilla del Proyecto Integrador. Si un KPI no pasa el paso 1, es una métrica: déjela en el detalle, no en la portada del tablero.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F3A5F"/>
          <w:left w:val="single" w:sz="4" w:color="1F3A5F"/>
          <w:bottom w:val="single" w:sz="4" w:color="1F3A5F"/>
          <w:right w:val="single" w:sz="4" w:color="1F3A5F"/>
          <w:insideH w:val="single" w:sz="4" w:color="1F3A5F"/>
          <w:insideV w:val="single" w:sz="4" w:color="1F3A5F"/>
        </w:tblBorders>
        <w:tblLayout w:type="fixed"/>
      </w:tblPr>
      <w:tblGrid>
        <w:gridCol w:w="2333"/>
        <w:gridCol w:w="4932"/>
        <w:gridCol w:w="1061"/>
        <w:gridCol w:w="5621"/>
      </w:tblGrid>
      <w:tr>
        <w:tc>
          <w:tcPr>
            <w:tcW w:type="dxa" w:w="233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493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10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type="dxa" w:w="562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Ejemplo: OEE de Acería Andina</w:t>
            </w:r>
          </w:p>
        </w:tc>
      </w:tr>
      <w:tr>
        <w:tc>
          <w:tcPr>
            <w:tcW w:type="dxa" w:w="5621"/>
            <w:gridSpan w:val="4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6"/>
              </w:rPr>
              <w:t>A · DEFINICIÓN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1 · Decisión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¿Qué decisión cambia según el valor? ¿En qué nivel se toma?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S01–S02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Qué activo y qué pilar intervenir primero · táctico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2 · Fórmula y unidad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¿Cómo se calcula sin ambigüedad?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S02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Disponibilidad × Rendimiento × Calidad · %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3 · Fuente y calidad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¿De qué tablas sale y qué regla lo protege de un dato malo?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S03–S04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fact_produccion_turno; paradas &gt; 480 min se corrigen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4 · Grano y dimensiones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¿Qué es una fila? ¿Por qué cortes se analiza? ¿Cada cuánto se revisa?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S06–S07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Activo × turno × día; por línea, turno y fecha; diario</w:t>
            </w:r>
          </w:p>
        </w:tc>
      </w:tr>
      <w:tr>
        <w:tc>
          <w:tcPr>
            <w:tcW w:type="dxa" w:w="5621"/>
            <w:gridSpan w:val="4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6"/>
              </w:rPr>
              <w:t>B · CONTROL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5 · Línea base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¿Cuánto vale hoy y en qué contexto?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S07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77,7 % (COMP-04, turno B)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6 · Polaridad, meta y umbrales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¿Más o menos es mejor? ¿Qué meta y por qué? ¿Desde dónde se interviene?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S08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↑ · meta 85 % (clase mundial) · verde ≥ 85 %, rojo &lt; 75 %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7 · Responsable y acción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¿Quién responde, qué hace en rojo y quién puede verlo?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S11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Jefe de línea · revisar paradas · RLS por línea</w:t>
            </w:r>
          </w:p>
        </w:tc>
      </w:tr>
      <w:tr>
        <w:tc>
          <w:tcPr>
            <w:tcW w:type="dxa" w:w="5621"/>
            <w:gridSpan w:val="4"/>
            <w:shd w:val="clear" w:color="auto" w:fill="FFF4E8"/>
          </w:tcPr>
          <w:p>
            <w:pPr>
              <w:spacing w:after="0"/>
            </w:pPr>
            <w:r>
              <w:rPr>
                <w:b/>
                <w:color w:val="E07A1F"/>
                <w:sz w:val="16"/>
              </w:rPr>
              <w:t>C · ENLACE ESTRATÉGICO (propuesta para el Módulo 5)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8 · Causa y efecto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¿Es resultado o impulsor? ¿Qué lo mueve y a qué mueve?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S09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Resultado; lo mueven Disponibilidad y scrap</w:t>
            </w:r>
          </w:p>
        </w:tc>
      </w:tr>
      <w:tr>
        <w:tc>
          <w:tcPr>
            <w:tcW w:type="dxa" w:w="2333"/>
          </w:tcPr>
          <w:p>
            <w:pPr>
              <w:spacing w:after="0"/>
            </w:pPr>
            <w:r>
              <w:rPr>
                <w:b/>
                <w:sz w:val="17"/>
              </w:rPr>
              <w:t>9 · Impacto económico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¿Cuánto vale mejorar una unidad? ¿En qué perspectiva va?</w:t>
            </w:r>
          </w:p>
        </w:tc>
        <w:tc>
          <w:tcPr>
            <w:tcW w:type="dxa" w:w="1061"/>
          </w:tcPr>
          <w:p>
            <w:pPr>
              <w:spacing w:after="0"/>
            </w:pPr>
            <w:r>
              <w:rPr>
                <w:sz w:val="17"/>
              </w:rPr>
              <w:t>S10–S11</w:t>
            </w:r>
          </w:p>
        </w:tc>
        <w:tc>
          <w:tcPr>
            <w:tcW w:type="dxa" w:w="5621"/>
          </w:tcPr>
          <w:p>
            <w:pPr>
              <w:spacing w:after="0"/>
            </w:pPr>
            <w:r>
              <w:rPr>
                <w:sz w:val="17"/>
              </w:rPr>
              <w:t>1 pp de scrap ≈ $5.400/año · procesos internos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color w:val="1F3A5F"/>
          <w:sz w:val="22"/>
        </w:rPr>
        <w:t>KPI centrales de los subcasos · valores de referencia (Silver v10)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F3A5F"/>
          <w:left w:val="single" w:sz="4" w:color="1F3A5F"/>
          <w:bottom w:val="single" w:sz="4" w:color="1F3A5F"/>
          <w:right w:val="single" w:sz="4" w:color="1F3A5F"/>
          <w:insideH w:val="single" w:sz="4" w:color="1F3A5F"/>
          <w:insideV w:val="single" w:sz="4" w:color="1F3A5F"/>
        </w:tblBorders>
        <w:tblLayout w:type="fixed"/>
      </w:tblPr>
      <w:tblGrid>
        <w:gridCol w:w="2757"/>
        <w:gridCol w:w="6257"/>
        <w:gridCol w:w="4932"/>
      </w:tblGrid>
      <w:tr>
        <w:tc>
          <w:tcPr>
            <w:tcW w:type="dxa" w:w="275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Subcaso</w:t>
            </w:r>
          </w:p>
        </w:tc>
        <w:tc>
          <w:tcPr>
            <w:tcW w:type="dxa" w:w="625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KPI centrales</w:t>
            </w:r>
          </w:p>
        </w:tc>
        <w:tc>
          <w:tcPr>
            <w:tcW w:type="dxa" w:w="493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 de referencia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01A · AITSA · Gerencia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Margen después de penalidades SLA · penalidades totales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27,58 % (antes 27,99 %) · Bs 3.457.473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01B · AITSA · Operaciones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Incumplimiento de SLA · asignaciones compatibles · especialidad coincidente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19,4 % · 15,4 % · 25,3 %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02A · RedNexo · Finanzas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Churn a 90 días · MTTR · payback de migrar el cobre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5,06 % · 5,56 h · 4,2 meses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02B · RedNexo · Operaciones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MTTR por zona · tickets con MTTR alto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5,46 a 5,73 h · 16,4 %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03A · AndinaLog · Comercial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OTIF · satisfacción · margen ajustado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82,18 % · 4,17 (72 % evaluadas) · 19,74 %</w:t>
            </w:r>
          </w:p>
        </w:tc>
      </w:tr>
      <w:tr>
        <w:tc>
          <w:tcPr>
            <w:tcW w:type="dxa" w:w="2757"/>
          </w:tcPr>
          <w:p>
            <w:pPr>
              <w:spacing w:after="0"/>
            </w:pPr>
            <w:r>
              <w:rPr>
                <w:b/>
                <w:sz w:val="17"/>
              </w:rPr>
              <w:t>03B · AndinaLog · Operaciones</w:t>
            </w:r>
          </w:p>
        </w:tc>
        <w:tc>
          <w:tcPr>
            <w:tcW w:type="dxa" w:w="6257"/>
          </w:tcPr>
          <w:p>
            <w:pPr>
              <w:spacing w:after="0"/>
            </w:pPr>
            <w:r>
              <w:rPr>
                <w:sz w:val="17"/>
              </w:rPr>
              <w:t>Viajes con desviación térmica · merma · lotes vencidos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7"/>
              </w:rPr>
              <w:t>14,36 % · 7,36 % · 13,7 %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  <w:color w:val="1F3A5F"/>
          <w:sz w:val="20"/>
        </w:rPr>
        <w:t>Cinco reglas para no equivocarse</w:t>
      </w:r>
    </w:p>
    <w:p>
      <w:pPr>
        <w:pStyle w:val="ListBullet"/>
        <w:spacing w:after="20"/>
      </w:pPr>
      <w:r>
        <w:rPr>
          <w:sz w:val="18"/>
        </w:rPr>
        <w:t>Pocos y con dueño: de 5 a 8 KPI por tablero, cada uno con decisión y responsable.</w:t>
      </w:r>
    </w:p>
    <w:p>
      <w:pPr>
        <w:pStyle w:val="ListBullet"/>
        <w:spacing w:after="20"/>
      </w:pPr>
      <w:r>
        <w:rPr>
          <w:sz w:val="18"/>
        </w:rPr>
        <w:t>Combine resultados e impulsores: el OEE dice si se llegó; MTTR y scrap avisan antes.</w:t>
      </w:r>
    </w:p>
    <w:p>
      <w:pPr>
        <w:pStyle w:val="ListBullet"/>
        <w:spacing w:after="20"/>
      </w:pPr>
      <w:r>
        <w:rPr>
          <w:sz w:val="18"/>
        </w:rPr>
        <w:t>Justifique la meta con la línea base, una referencia externa o una restricción del negocio. «Porque suena bien» no es una justificación.</w:t>
      </w:r>
    </w:p>
    <w:p>
      <w:pPr>
        <w:pStyle w:val="ListBullet"/>
        <w:spacing w:after="20"/>
      </w:pPr>
      <w:r>
        <w:rPr>
          <w:sz w:val="18"/>
        </w:rPr>
        <w:t>Un color sin umbral documentado no es una alarma: el semáforo sale de la ficha, no del gusto de quien diseña.</w:t>
      </w:r>
    </w:p>
    <w:p>
      <w:pPr>
        <w:pStyle w:val="ListBullet"/>
        <w:spacing w:after="20"/>
      </w:pPr>
      <w:r>
        <w:rPr>
          <w:sz w:val="18"/>
        </w:rPr>
        <w:t>Lo simulado no es lo observado: un escenario What-if no reemplaza la línea base.</w:t>
      </w:r>
    </w:p>
    <w:sectPr w:rsidR="00FC693F" w:rsidRPr="0006063C" w:rsidSect="00034616">
      <w:footerReference w:type="default" r:id="rId9"/>
      <w:pgSz w:w="15840" w:h="12240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GIAD · Módulo 4 · Hoja de referencia · KPI para el Proyecto Integrador y el Módulo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