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>
            <w:r>
              <w:t>Старший инженер</w:t>
            </w:r>
          </w:p>
        </w:tc>
        <w:tc>
          <w:tcPr>
            <w:tcW w:w="1701" w:type="dxa"/>
          </w:tcPr>
          <w:p>
            <w:r>
              <w:t>г. Сочи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>
            <w:r>
              <w:t>Адлерская ТЭС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>
            <w:r>
              <w:t>05.02.2026</w:t>
            </w:r>
          </w:p>
        </w:tc>
        <w:tc>
          <w:tcPr>
            <w:tcW w:w="1275" w:type="dxa"/>
          </w:tcPr>
          <w:p>
            <w:r>
              <w:t>13.02.2026</w:t>
            </w:r>
          </w:p>
        </w:tc>
        <w:tc>
          <w:tcPr>
            <w:tcW w:w="993" w:type="dxa"/>
          </w:tcPr>
          <w:p>
            <w:r/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>
            <w:r>
              <w:t>284</w:t>
              <w:br/>
            </w: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>
            <w:r>
              <w:t>Сервисное обслуживание ПТК АСУТП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</cp:coreProperties>
</file>