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>
            <w:r>
              <w:t>Старший инженер</w:t>
            </w:r>
          </w:p>
        </w:tc>
        <w:tc>
          <w:tcPr>
            <w:tcW w:w="1701" w:type="dxa"/>
          </w:tcPr>
          <w:p>
            <w:r>
              <w:t>г. Ярославль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>
            <w:r>
              <w:t>Хуадянь-Тенинская ТЭЦ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r>
              <w:t>05.02.2026</w:t>
            </w:r>
          </w:p>
        </w:tc>
        <w:tc>
          <w:tcPr>
            <w:tcW w:w="1275" w:type="dxa"/>
          </w:tcPr>
          <w:p>
            <w:r>
              <w:t>19.02.2026</w:t>
            </w:r>
          </w:p>
        </w:tc>
        <w:tc>
          <w:tcPr>
            <w:tcW w:w="993" w:type="dxa"/>
          </w:tcPr>
          <w:p>
            <w:r/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>
            <w:r>
              <w:t>370</w:t>
              <w:br/>
            </w: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>
            <w:r>
              <w:t>Сервисное обслуживание ПТК АСУТП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