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>
            <w:r>
              <w:t>Старший инженер</w:t>
            </w:r>
          </w:p>
        </w:tc>
        <w:tc>
          <w:tcPr>
            <w:tcW w:w="1701" w:type="dxa"/>
          </w:tcPr>
          <w:p>
            <w:r>
              <w:t>г. Нягань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>
            <w:r>
              <w:t>Няганская ГРЭС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13.02.2026</w:t>
            </w:r>
          </w:p>
        </w:tc>
        <w:tc>
          <w:tcPr>
            <w:tcW w:w="1275" w:type="dxa"/>
          </w:tcPr>
          <w:p>
            <w:r>
              <w:t>20.02.2026</w:t>
            </w:r>
          </w:p>
        </w:tc>
        <w:tc>
          <w:tcPr>
            <w:tcW w:w="993" w:type="dxa"/>
          </w:tcPr>
          <w:p>
            <w:r/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>
            <w:r>
              <w:t>293</w:t>
              <w:br/>
            </w: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>
            <w:r>
              <w:t>Пусконаладочные работы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