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Rapport annuel</w:t>
      </w:r>
    </w:p>
    <w:p>
      <w:r>
        <w:t>Le corps de l'introduction, assez long pour compter dans le plancher de caractères que le domaine impose à tout document extrait.</w:t>
      </w:r>
    </w:p>
    <w:p>
      <w:pPr>
        <w:pStyle w:val="Heading2"/>
      </w:pPr>
      <w:r>
        <w:t>Première partie</w:t>
      </w:r>
    </w:p>
    <w:p>
      <w:r>
        <w:t>Le corps de la première partie, sur deux paragraphes.</w:t>
      </w:r>
    </w:p>
    <w:p>
      <w:r>
        <w:t>Le second paragraphe de la première partie, pour vérifier que la frontière entre paragraphes survit à l'extraction.</w:t>
      </w:r>
    </w:p>
    <w:p>
      <w:pPr>
        <w:pStyle w:val="Heading3"/>
      </w:pPr>
      <w:r>
        <w:t>Un détail de la première partie</w:t>
      </w:r>
    </w:p>
    <w:p>
      <w:r>
        <w:t>Un troisième niveau, pour que la borne haute ne soit pas théorique.</w:t>
      </w:r>
    </w:p>
    <w:p>
      <w:pPr>
        <w:pStyle w:val="Heading2"/>
      </w:pPr>
      <w:r>
        <w:t>Seconde partie</w:t>
      </w:r>
    </w:p>
    <w:p>
      <w:r>
        <w:t>Le corps de la seconde partie, qui clôt le document.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2026-08-26T09:59:48Z</dcterms:created>
  <dc:creator>Apache POI</dc:creator>
</cp:coreProperties>
</file>