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B1218" w14:textId="77777777" w:rsidR="00E65CCC" w:rsidRPr="00E65CCC" w:rsidRDefault="00E65CCC" w:rsidP="00E6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Social Media Engagement Analysis – Summary of Findings</w:t>
      </w:r>
    </w:p>
    <w:p w14:paraId="2411F837" w14:textId="77777777" w:rsidR="00E65CCC" w:rsidRPr="00E65CCC" w:rsidRDefault="00E65CCC" w:rsidP="00E6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The analysis was performed on a dataset containing </w:t>
      </w: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5,000 social media posts</w:t>
      </w: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to understand content performance, user trends, behavioral patterns, and sentiment-based engagement.</w:t>
      </w:r>
    </w:p>
    <w:p w14:paraId="606C131F" w14:textId="77777777" w:rsidR="00E65CCC" w:rsidRPr="00E65CCC" w:rsidRDefault="00E65CCC" w:rsidP="00E6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CCC">
        <w:rPr>
          <w:rFonts w:ascii="Times New Roman" w:eastAsia="Times New Roman" w:hAnsi="Times New Roman" w:cs="Times New Roman"/>
          <w:b/>
          <w:bCs/>
          <w:sz w:val="27"/>
          <w:szCs w:val="27"/>
        </w:rPr>
        <w:t>Key Findings</w:t>
      </w:r>
    </w:p>
    <w:p w14:paraId="2D266E7F" w14:textId="77777777" w:rsidR="00E65CCC" w:rsidRPr="00E65CCC" w:rsidRDefault="00E65CCC" w:rsidP="00E6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1. Content Performance</w:t>
      </w:r>
    </w:p>
    <w:p w14:paraId="3669B6A2" w14:textId="77777777" w:rsidR="00E65CCC" w:rsidRPr="00E65CCC" w:rsidRDefault="00E65CCC" w:rsidP="00E6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Video posts</w:t>
      </w: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recorded the highest average engagement rate among the post types analyzed.</w:t>
      </w:r>
    </w:p>
    <w:p w14:paraId="10903D0C" w14:textId="77777777" w:rsidR="00E65CCC" w:rsidRPr="00E65CCC" w:rsidRDefault="00E65CCC" w:rsidP="00E6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Food</w:t>
      </w: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was the best-performing content category based on average engagement.</w:t>
      </w:r>
    </w:p>
    <w:p w14:paraId="0882A0D2" w14:textId="77777777" w:rsidR="00E65CCC" w:rsidRPr="00E65CCC" w:rsidRDefault="00E65CCC" w:rsidP="00E6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Brazil</w:t>
      </w: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recorded the highest average engagement rate among the countries analyzed.</w:t>
      </w:r>
    </w:p>
    <w:p w14:paraId="16605941" w14:textId="77777777" w:rsidR="00E65CCC" w:rsidRPr="00E65CCC" w:rsidRDefault="00E65CCC" w:rsidP="00E6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>These results indicate that both content format and content category can influence audience engagement.</w:t>
      </w:r>
    </w:p>
    <w:p w14:paraId="094CD89A" w14:textId="77777777" w:rsidR="00E65CCC" w:rsidRPr="00E65CCC" w:rsidRDefault="00E65CCC" w:rsidP="00E6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2. User Trends</w:t>
      </w:r>
    </w:p>
    <w:p w14:paraId="641E3215" w14:textId="77777777" w:rsidR="00E65CCC" w:rsidRPr="00E65CCC" w:rsidRDefault="00E65CCC" w:rsidP="00E6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>Engagement varies across different age groups rather than following a simple increasing or decreasing pattern.</w:t>
      </w:r>
    </w:p>
    <w:p w14:paraId="75743AEC" w14:textId="77777777" w:rsidR="00E65CCC" w:rsidRPr="00E65CCC" w:rsidRDefault="00E65CCC" w:rsidP="00E6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45–54 age group</w:t>
      </w: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recorded the highest average engagement rate.</w:t>
      </w:r>
    </w:p>
    <w:p w14:paraId="07057423" w14:textId="77777777" w:rsidR="00E65CCC" w:rsidRPr="00E65CCC" w:rsidRDefault="00E65CCC" w:rsidP="00E6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>The correlation between age and engagement rate was very weak, indicating that age alone does not strongly explain engagement.</w:t>
      </w:r>
    </w:p>
    <w:p w14:paraId="774514B0" w14:textId="77777777" w:rsidR="00E65CCC" w:rsidRPr="00E65CCC" w:rsidRDefault="00E65CCC" w:rsidP="00E6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accounts</w:t>
      </w: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showed slightly higher average engagement and watch time compared with non-verified accounts.</w:t>
      </w:r>
    </w:p>
    <w:p w14:paraId="3037AA0F" w14:textId="77777777" w:rsidR="00E65CCC" w:rsidRPr="00E65CCC" w:rsidRDefault="00E65CCC" w:rsidP="00E6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3. Behavioral Insights</w:t>
      </w:r>
    </w:p>
    <w:p w14:paraId="6283E0AE" w14:textId="77777777" w:rsidR="00E65CCC" w:rsidRPr="00E65CCC" w:rsidRDefault="00E65CCC" w:rsidP="00E65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Mobile devices</w:t>
      </w: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recorded the highest average watch time compared with desktop and tablet devices.</w:t>
      </w:r>
    </w:p>
    <w:p w14:paraId="784F6E3D" w14:textId="77777777" w:rsidR="00E65CCC" w:rsidRPr="00E65CCC" w:rsidRDefault="00E65CCC" w:rsidP="00E65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>This suggests that mobile users are an important audience segment for social media content.</w:t>
      </w:r>
    </w:p>
    <w:p w14:paraId="1A45241B" w14:textId="77777777" w:rsidR="00E65CCC" w:rsidRPr="00E65CCC" w:rsidRDefault="00E65CCC" w:rsidP="00E65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The dataset contains posting dates but does not provide actual posting times. Therefore, a reliable </w:t>
      </w: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best time of day for impressions cannot be determined</w:t>
      </w: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from the available data.</w:t>
      </w:r>
    </w:p>
    <w:p w14:paraId="6986E2B8" w14:textId="77777777" w:rsidR="00E65CCC" w:rsidRPr="00E65CCC" w:rsidRDefault="00E65CCC" w:rsidP="00E6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4. Sentiment Analysis</w:t>
      </w:r>
    </w:p>
    <w:p w14:paraId="76B48E8C" w14:textId="77777777" w:rsidR="00E65CCC" w:rsidRPr="00E65CCC" w:rsidRDefault="00E65CCC" w:rsidP="00E65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Negative-sentiment posts</w:t>
      </w: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recorded the highest average engagement rate, followed by neutral and positive posts.</w:t>
      </w:r>
    </w:p>
    <w:p w14:paraId="07CD8BAC" w14:textId="77777777" w:rsidR="00E65CCC" w:rsidRPr="00E65CCC" w:rsidRDefault="00E65CCC" w:rsidP="00E65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>Negative posts also generated strong interaction through likes and comments.</w:t>
      </w:r>
    </w:p>
    <w:p w14:paraId="7373EDDE" w14:textId="77777777" w:rsidR="00E65CCC" w:rsidRPr="00E65CCC" w:rsidRDefault="00E65CCC" w:rsidP="00E65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>This suggests that sentiment can be associated with differences in audience engagement, although sentiment alone does not establish the cause of engagement.</w:t>
      </w:r>
    </w:p>
    <w:p w14:paraId="41795A2E" w14:textId="77777777" w:rsidR="00E65CCC" w:rsidRPr="00E65CCC" w:rsidRDefault="00E65CCC" w:rsidP="00E6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CC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Overall Conclusion</w:t>
      </w:r>
    </w:p>
    <w:p w14:paraId="67856C5A" w14:textId="77777777" w:rsidR="00E65CCC" w:rsidRPr="00E65CCC" w:rsidRDefault="00E65CCC" w:rsidP="00E6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The analysis shows that </w:t>
      </w: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content type, content category, country, account verification, device type, age group, and sentiment</w:t>
      </w: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are associated with differences in social media engagement. Video content and food-related posts performed particularly strongly, while mobile users showed the highest watch time. Verified accounts had slightly higher engagement than non-verified accounts, and negative-sentiment posts showed the highest average engagement. Since the dataset does not contain posting times, further analysis would require a timestamp containing the actual hour and minute of posting.</w:t>
      </w:r>
    </w:p>
    <w:p w14:paraId="049AAA24" w14:textId="77777777" w:rsidR="00E65CCC" w:rsidRPr="00E65CCC" w:rsidRDefault="00E65CCC" w:rsidP="00E6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Overall, the analysis demonstrates how </w:t>
      </w:r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Pandas, NumPy, Matplotlib, Seaborn, and </w:t>
      </w:r>
      <w:proofErr w:type="spellStart"/>
      <w:r w:rsidRPr="00E65CCC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E65CCC">
        <w:rPr>
          <w:rFonts w:ascii="Times New Roman" w:eastAsia="Times New Roman" w:hAnsi="Times New Roman" w:cs="Times New Roman"/>
          <w:sz w:val="24"/>
          <w:szCs w:val="24"/>
        </w:rPr>
        <w:t xml:space="preserve"> can be used to clean, explore, visualize, and derive meaningful insights from social media engagement data</w:t>
      </w:r>
    </w:p>
    <w:p w14:paraId="537409BD" w14:textId="77777777" w:rsidR="00FB0B20" w:rsidRDefault="00FB0B20"/>
    <w:sectPr w:rsidR="00FB0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6358C"/>
    <w:multiLevelType w:val="multilevel"/>
    <w:tmpl w:val="FCEC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D257E"/>
    <w:multiLevelType w:val="multilevel"/>
    <w:tmpl w:val="1C3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97237"/>
    <w:multiLevelType w:val="multilevel"/>
    <w:tmpl w:val="F78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5072D"/>
    <w:multiLevelType w:val="multilevel"/>
    <w:tmpl w:val="E41E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CC"/>
    <w:rsid w:val="00E65CCC"/>
    <w:rsid w:val="00FB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AEA00"/>
  <w15:chartTrackingRefBased/>
  <w15:docId w15:val="{8F6E4D27-9BCE-45AC-9199-EC63CC63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5C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65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65CC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E65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5C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5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1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remyashiju1989@gmail.com</dc:creator>
  <cp:keywords/>
  <dc:description/>
  <cp:lastModifiedBy>remyashiju1989@gmail.com</cp:lastModifiedBy>
  <cp:revision>1</cp:revision>
  <dcterms:created xsi:type="dcterms:W3CDTF">2026-09-24T18:12:00Z</dcterms:created>
  <dcterms:modified xsi:type="dcterms:W3CDTF">2026-09-24T18:12:00Z</dcterms:modified>
</cp:coreProperties>
</file>