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b/>
          <w:bCs/>
        </w:rPr>
        <w:t xml:space="preserve">Job Preferences and Wage Expectations</w:t>
      </w:r>
      <w:r>
        <w:br/>
      </w:r>
      <w:r>
        <w:rPr>
          <w:b/>
          <w:bCs/>
        </w:rPr>
        <w:t xml:space="preserve">Among Ghanaian University Graduates</w:t>
      </w:r>
    </w:p>
    <w:p>
      <w:pPr>
        <w:pStyle w:val="Author"/>
      </w:pPr>
      <w:r>
        <w:t xml:space="preserve">Remy Beauregard</w:t>
      </w:r>
    </w:p>
    <w:p>
      <w:pPr>
        <w:pStyle w:val="Date"/>
      </w:pPr>
      <w:r>
        <w:t xml:space="preserve">May 2026</w:t>
      </w:r>
    </w:p>
    <w:p>
      <w:pPr>
        <w:pStyle w:val="AbstractTitle"/>
      </w:pPr>
      <w:r>
        <w:t xml:space="preserve">Abstract</w:t>
      </w:r>
    </w:p>
    <w:p>
      <w:pPr>
        <w:pStyle w:val="Abstract"/>
      </w:pPr>
      <w:r>
        <w:t xml:space="preserve">This report summarizes preliminary findings from a baseline survey of 48 Ghanaian</w:t>
      </w:r>
      <w:r>
        <w:t xml:space="preserve"> </w:t>
      </w:r>
      <w:r>
        <w:t xml:space="preserve">university graduates on their wage expectations and the factors that influence their</w:t>
      </w:r>
      <w:r>
        <w:t xml:space="preserve"> </w:t>
      </w:r>
      <w:r>
        <w:t xml:space="preserve">job-choice decisions. Regression analysis reveals that professional development is positively associated</w:t>
      </w:r>
      <w:r>
        <w:t xml:space="preserve"> </w:t>
      </w:r>
      <w:r>
        <w:t xml:space="preserve">with both the minimum and maximum acceptable wage, while two stated social influences,</w:t>
      </w:r>
      <w:r>
        <w:t xml:space="preserve"> </w:t>
      </w:r>
      <w:r>
        <w:t xml:space="preserve">family and peer opinion, are associated only with the maximum: family opinion is</w:t>
      </w:r>
      <w:r>
        <w:t xml:space="preserve"> </w:t>
      </w:r>
      <w:r>
        <w:t xml:space="preserve">associated with a lower ceiling wage and peer opinion with a higher one. These are</w:t>
      </w:r>
      <w:r>
        <w:t xml:space="preserve"> </w:t>
      </w:r>
      <w:r>
        <w:t xml:space="preserve">exploratory patterns intended to inform the design of a pilot RCT.</w:t>
      </w:r>
    </w:p>
    <w:p>
      <w:r>
        <w:pict>
          <v:rect style="width:0;height:1.5pt" o:hralign="center" o:hrstd="t" o:hr="t"/>
        </w:pict>
      </w:r>
    </w:p>
    <w:bookmarkStart w:id="10" w:name="background-and-data"/>
    <w:p>
      <w:pPr>
        <w:pStyle w:val="Heading1"/>
      </w:pPr>
      <w:r>
        <w:t xml:space="preserve">Background and Data</w:t>
      </w:r>
    </w:p>
    <w:p>
      <w:pPr>
        <w:pStyle w:val="FirstParagraph"/>
      </w:pPr>
      <w:r>
        <w:t xml:space="preserve">The survey was administered to Ghanaian university graduates through KoboCollect.</w:t>
      </w:r>
      <w:r>
        <w:t xml:space="preserve"> </w:t>
      </w:r>
      <w:r>
        <w:t xml:space="preserve">Respondents provided their minimum and maximum willingness-to-accept (WTA) wages</w:t>
      </w:r>
      <w:r>
        <w:t xml:space="preserve"> </w:t>
      </w:r>
      <w:r>
        <w:t xml:space="preserve">(the floor and ceiling of pay they would consider for a job offer), along with</w:t>
      </w:r>
      <w:r>
        <w:t xml:space="preserve"> </w:t>
      </w:r>
      <w:r>
        <w:t xml:space="preserve">demographic information and a set of indicators for which factors (e.g. location,</w:t>
      </w:r>
      <w:r>
        <w:t xml:space="preserve"> </w:t>
      </w:r>
      <w:r>
        <w:t xml:space="preserve">hours flexibility, professional development) influence their employment decisions.</w:t>
      </w:r>
    </w:p>
    <w:p>
      <w:pPr>
        <w:pStyle w:val="BodyText"/>
      </w:pPr>
      <w:r>
        <w:t xml:space="preserve">Because respondents entered wages in free text, responses arrived in diverse</w:t>
      </w:r>
      <w:r>
        <w:t xml:space="preserve"> </w:t>
      </w:r>
      <w:r>
        <w:t xml:space="preserve">formats: monthly figures (</w:t>
      </w:r>
      <w:r>
        <w:t xml:space="preserve">“GHC 2,000”</w:t>
      </w:r>
      <w:r>
        <w:t xml:space="preserve">), hourly rates (</w:t>
      </w:r>
      <w:r>
        <w:t xml:space="preserve">“15 Ghana Cedis per hour”</w:t>
      </w:r>
      <w:r>
        <w:t xml:space="preserve">),</w:t>
      </w:r>
      <w:r>
        <w:t xml:space="preserve"> </w:t>
      </w:r>
      <w:r>
        <w:t xml:space="preserve">daily rates, ranges (</w:t>
      </w:r>
      <w:r>
        <w:t xml:space="preserve">“1,500–2,000”</w:t>
      </w:r>
      <w:r>
        <w:t xml:space="preserve">), and even written-out words (</w:t>
      </w:r>
      <w:r>
        <w:t xml:space="preserve">“two thousand”</w:t>
      </w:r>
      <w:r>
        <w:t xml:space="preserve">).</w:t>
      </w:r>
      <w:r>
        <w:t xml:space="preserve"> </w:t>
      </w:r>
      <w:r>
        <w:t xml:space="preserve">All entries were algorithmically standardized to a</w:t>
      </w:r>
      <w:r>
        <w:t xml:space="preserve"> </w:t>
      </w:r>
      <w:r>
        <w:rPr>
          <w:b/>
          <w:bCs/>
        </w:rPr>
        <w:t xml:space="preserve">monthly GHC equivalent</w:t>
      </w:r>
      <w:r>
        <w:t xml:space="preserve"> </w:t>
      </w:r>
      <w:r>
        <w:t xml:space="preserve">using a 40-hour, five-day working week (approximately 173 hours per month and</w:t>
      </w:r>
      <w:r>
        <w:t xml:space="preserve"> </w:t>
      </w:r>
      <w:r>
        <w:t xml:space="preserve">21.7 working days per month). Range entries were represented by their midpoint.</w:t>
      </w:r>
    </w:p>
    <w:p>
      <w:pPr>
        <w:pStyle w:val="BodyText"/>
      </w:pPr>
      <w:r>
        <w:t xml:space="preserve">The analytical sample was constructed from the raw survey responses in two steps.</w:t>
      </w:r>
      <w:r>
        <w:t xml:space="preserve"> </w:t>
      </w:r>
      <w:r>
        <w:t xml:space="preserve">First, respondents who were not college graduates were dropped (grad_code</w:t>
      </w:r>
      <w:r>
        <w:t xml:space="preserve"> </w:t>
      </w:r>
      <m:oMath>
        <m:r>
          <m:rPr>
            <m:sty m:val="p"/>
          </m:rPr>
          <m:t>=</m:t>
        </m:r>
        <m:r>
          <m:t>3</m:t>
        </m:r>
      </m:oMath>
      <w:r>
        <w:t xml:space="preserve">;</w:t>
      </w:r>
      <w:r>
        <w:t xml:space="preserve"> </w:t>
      </w:r>
      <m:oMath>
        <m:r>
          <m:t>n</m:t>
        </m:r>
        <m:r>
          <m:rPr>
            <m:sty m:val="p"/>
          </m:rPr>
          <m:t>=</m:t>
        </m:r>
        <m:r>
          <m:t>1</m:t>
        </m:r>
      </m:oMath>
      <w:r>
        <w:t xml:space="preserve"> </w:t>
      </w:r>
      <w:r>
        <w:t xml:space="preserve">dropped). Second, respondents missing wage data for both the</w:t>
      </w:r>
      <w:r>
        <w:t xml:space="preserve"> </w:t>
      </w:r>
      <w:r>
        <w:t xml:space="preserve">minimum and maximum WTA, or missing any key demographic or job-factor variable, were</w:t>
      </w:r>
      <w:r>
        <w:t xml:space="preserve"> </w:t>
      </w:r>
      <w:r>
        <w:t xml:space="preserve">excluded (</w:t>
      </w:r>
      <m:oMath>
        <m:r>
          <m:t>n</m:t>
        </m:r>
        <m:r>
          <m:rPr>
            <m:sty m:val="p"/>
          </m:rPr>
          <m:t>=</m:t>
        </m:r>
        <m:r>
          <m:t>4</m:t>
        </m:r>
      </m:oMath>
      <w:r>
        <w:t xml:space="preserve"> </w:t>
      </w:r>
      <w:r>
        <w:t xml:space="preserve">dropped). The</w:t>
      </w:r>
      <w:r>
        <w:t xml:space="preserve"> </w:t>
      </w:r>
      <w:r>
        <w:rPr>
          <w:b/>
          <w:bCs/>
        </w:rPr>
        <w:t xml:space="preserve">baseline analytical sample</w:t>
      </w:r>
      <w:r>
        <w:rPr>
          <w:b/>
          <w:bCs/>
        </w:rPr>
        <w:t xml:space="preserve"> </w:t>
      </w:r>
      <w:r>
        <w:rPr>
          <w:b/>
          <w:bCs/>
        </w:rPr>
        <w:t xml:space="preserve">contains 48 respondents</w:t>
      </w:r>
      <w:r>
        <w:t xml:space="preserve">. Summary statistics for key variables are shown in</w:t>
      </w:r>
      <w:r>
        <w:t xml:space="preserve"> </w:t>
      </w:r>
      <w:r>
        <w:t xml:space="preserve">Table </w:t>
      </w:r>
      <w:hyperlink w:anchor="tab:sumstats">
        <w:r>
          <w:rPr>
            <w:rStyle w:val="Hyperlink"/>
          </w:rPr>
          <w:t xml:space="preserve">1</w:t>
        </w:r>
      </w:hyperlink>
      <w:r>
        <w:t xml:space="preserve">.</w:t>
      </w:r>
    </w:p>
    <w:bookmarkStart w:id="9" w:name="tab:sumstats"/>
    <w:p>
      <w:pPr>
        <w:pStyle w:val="TableCaption"/>
      </w:pPr>
      <w:r>
        <w:t xml:space="preserve">Summary Statistics (</w:t>
      </w:r>
      <m:oMath>
        <m:r>
          <m:t>n</m:t>
        </m:r>
        <m:r>
          <m:rPr>
            <m:sty m:val="p"/>
          </m:rPr>
          <m:t>=</m:t>
        </m:r>
        <m:r>
          <m:t>48</m:t>
        </m:r>
      </m:oMath>
      <w:r>
        <w:t xml:space="preserve">)</w:t>
      </w:r>
    </w:p>
    <w:tbl>
      <w:tblPr>
        <w:tblStyle w:val="Table"/>
        <w:tblW w:type="auto" w:w="0"/>
        <w:tblLook w:firstRow="1" w:lastRow="0" w:firstColumn="0" w:lastColumn="0" w:noHBand="0" w:noVBand="0" w:val="0020"/>
        <w:tblCaption w:val="Summary Statistics (n = 48)"/>
      </w:tblPr>
      <w:tblGrid>
        <w:gridCol w:w="1131"/>
        <w:gridCol w:w="1131"/>
        <w:gridCol w:w="1131"/>
        <w:gridCol w:w="1131"/>
        <w:gridCol w:w="1131"/>
        <w:gridCol w:w="1131"/>
        <w:gridCol w:w="1131"/>
      </w:tblGrid>
      <w:tr>
        <w:trPr>
          <w:tblHeader w:val="on"/>
        </w:trPr>
        <w:tc>
          <w:tcPr/>
          <w:p>
            <w:pPr>
              <w:pStyle w:val="Compact"/>
              <w:jc w:val="left"/>
            </w:pPr>
            <w:r>
              <w:rPr>
                <w:b/>
                <w:bCs/>
              </w:rPr>
              <w:t xml:space="preserve">Variable</w:t>
            </w:r>
          </w:p>
        </w:tc>
        <w:tc>
          <w:tcPr/>
          <w:p>
            <w:pPr>
              <w:pStyle w:val="Compact"/>
              <w:jc w:val="center"/>
            </w:pPr>
            <w:r>
              <w:rPr>
                <w:b/>
                <w:bCs/>
              </w:rPr>
              <w:t xml:space="preserve">Mean</w:t>
            </w:r>
          </w:p>
        </w:tc>
        <w:tc>
          <w:tcPr/>
          <w:p>
            <w:pPr>
              <w:pStyle w:val="Compact"/>
              <w:jc w:val="center"/>
            </w:pPr>
            <w:r>
              <w:rPr>
                <w:b/>
                <w:bCs/>
              </w:rPr>
              <w:t xml:space="preserve">SD</w:t>
            </w:r>
          </w:p>
        </w:tc>
        <w:tc>
          <w:tcPr/>
          <w:p>
            <w:pPr>
              <w:pStyle w:val="Compact"/>
              <w:jc w:val="center"/>
            </w:pPr>
            <m:oMath>
              <m:sSub>
                <m:e>
                  <m:r>
                    <m:t>p</m:t>
                  </m:r>
                </m:e>
                <m:sub>
                  <m:r>
                    <m:t>5</m:t>
                  </m:r>
                </m:sub>
              </m:sSub>
            </m:oMath>
          </w:p>
        </w:tc>
        <w:tc>
          <w:tcPr/>
          <w:p>
            <w:pPr>
              <w:pStyle w:val="Compact"/>
              <w:jc w:val="center"/>
            </w:pPr>
            <m:oMath>
              <m:sSub>
                <m:e>
                  <m:r>
                    <m:t>p</m:t>
                  </m:r>
                </m:e>
                <m:sub>
                  <m:r>
                    <m:t>95</m:t>
                  </m:r>
                </m:sub>
              </m:sSub>
            </m:oMath>
          </w:p>
        </w:tc>
        <w:tc>
          <w:tcPr/>
          <w:p>
            <w:pPr>
              <w:pStyle w:val="Compact"/>
              <w:jc w:val="center"/>
            </w:pPr>
            <w:r>
              <w:rPr>
                <w:b/>
                <w:bCs/>
              </w:rPr>
              <w:t xml:space="preserve">Min</w:t>
            </w:r>
          </w:p>
        </w:tc>
        <w:tc>
          <w:tcPr/>
          <w:p>
            <w:pPr>
              <w:pStyle w:val="Compact"/>
              <w:jc w:val="center"/>
            </w:pPr>
            <w:r>
              <w:rPr>
                <w:b/>
                <w:bCs/>
              </w:rPr>
              <w:t xml:space="preserve">Max</w:t>
            </w:r>
          </w:p>
        </w:tc>
      </w:tr>
      <w:tr>
        <w:tc>
          <w:tcPr>
            <w:gridSpan w:val="7"/>
          </w:tcPr>
          <w:p>
            <w:pPr>
              <w:pStyle w:val="Compact"/>
              <w:jc w:val="left"/>
            </w:pPr>
            <w:r>
              <w:rPr>
                <w:i/>
                <w:iCs/>
              </w:rPr>
              <w:t xml:space="preserve">Demographics</w:t>
            </w:r>
          </w:p>
        </w:tc>
      </w:tr>
      <w:tr>
        <w:tc>
          <w:tcPr/>
          <w:p>
            <w:pPr>
              <w:pStyle w:val="Compact"/>
              <w:jc w:val="left"/>
            </w:pPr>
            <w:r>
              <w:t xml:space="preserve">Age</w:t>
            </w:r>
          </w:p>
        </w:tc>
        <w:tc>
          <w:tcPr/>
          <w:p>
            <w:pPr>
              <w:pStyle w:val="Compact"/>
              <w:jc w:val="center"/>
            </w:pPr>
            <w:r>
              <w:t xml:space="preserve">27.5</w:t>
            </w:r>
          </w:p>
        </w:tc>
        <w:tc>
          <w:tcPr/>
          <w:p>
            <w:pPr>
              <w:pStyle w:val="Compact"/>
              <w:jc w:val="center"/>
            </w:pPr>
            <w:r>
              <w:t xml:space="preserve">3.6</w:t>
            </w:r>
          </w:p>
        </w:tc>
        <w:tc>
          <w:tcPr/>
          <w:p>
            <w:pPr>
              <w:pStyle w:val="Compact"/>
              <w:jc w:val="center"/>
            </w:pPr>
            <w:r>
              <w:t xml:space="preserve">24</w:t>
            </w:r>
          </w:p>
        </w:tc>
        <w:tc>
          <w:tcPr/>
          <w:p>
            <w:pPr>
              <w:pStyle w:val="Compact"/>
              <w:jc w:val="center"/>
            </w:pPr>
            <w:r>
              <w:t xml:space="preserve">34</w:t>
            </w:r>
          </w:p>
        </w:tc>
        <w:tc>
          <w:tcPr/>
          <w:p>
            <w:pPr>
              <w:pStyle w:val="Compact"/>
              <w:jc w:val="center"/>
            </w:pPr>
            <w:r>
              <w:t xml:space="preserve">24</w:t>
            </w:r>
          </w:p>
        </w:tc>
        <w:tc>
          <w:tcPr/>
          <w:p>
            <w:pPr>
              <w:pStyle w:val="Compact"/>
              <w:jc w:val="center"/>
            </w:pPr>
            <w:r>
              <w:t xml:space="preserve">43</w:t>
            </w:r>
          </w:p>
        </w:tc>
      </w:tr>
      <w:tr>
        <w:tc>
          <w:tcPr/>
          <w:p>
            <w:pPr>
              <w:pStyle w:val="Compact"/>
              <w:jc w:val="left"/>
            </w:pPr>
            <w:r>
              <w:t xml:space="preserve">Female</w:t>
            </w:r>
          </w:p>
        </w:tc>
        <w:tc>
          <w:tcPr/>
          <w:p>
            <w:pPr>
              <w:pStyle w:val="Compact"/>
              <w:jc w:val="center"/>
            </w:pPr>
            <w:r>
              <w:t xml:space="preserve">0.38</w:t>
            </w:r>
          </w:p>
        </w:tc>
        <w:tc>
          <w:tcPr/>
          <w:p>
            <w:pPr>
              <w:pStyle w:val="Compact"/>
              <w:jc w:val="center"/>
            </w:pPr>
            <w:r>
              <w:t xml:space="preserve">0.49</w:t>
            </w:r>
          </w:p>
        </w:tc>
        <w:tc>
          <w:tcPr/>
          <w:p>
            <w:pPr>
              <w:pStyle w:val="Compact"/>
              <w:jc w:val="center"/>
            </w:pPr>
            <w:r>
              <w:t xml:space="preserve">0.00</w:t>
            </w:r>
          </w:p>
        </w:tc>
        <w:tc>
          <w:tcPr/>
          <w:p>
            <w:pPr>
              <w:pStyle w:val="Compact"/>
              <w:jc w:val="center"/>
            </w:pPr>
            <w:r>
              <w:t xml:space="preserve">1.00</w:t>
            </w:r>
          </w:p>
        </w:tc>
        <w:tc>
          <w:tcPr/>
          <w:p>
            <w:pPr>
              <w:pStyle w:val="Compact"/>
              <w:jc w:val="center"/>
            </w:pPr>
            <w:r>
              <w:t xml:space="preserve">0</w:t>
            </w:r>
          </w:p>
        </w:tc>
        <w:tc>
          <w:tcPr/>
          <w:p>
            <w:pPr>
              <w:pStyle w:val="Compact"/>
              <w:jc w:val="center"/>
            </w:pPr>
            <w:r>
              <w:t xml:space="preserve">1</w:t>
            </w:r>
          </w:p>
        </w:tc>
      </w:tr>
      <w:tr>
        <w:tc>
          <w:tcPr/>
          <w:p>
            <w:pPr>
              <w:pStyle w:val="Compact"/>
              <w:jc w:val="left"/>
            </w:pPr>
            <w:r>
              <w:t xml:space="preserve">Married</w:t>
            </w:r>
          </w:p>
        </w:tc>
        <w:tc>
          <w:tcPr/>
          <w:p>
            <w:pPr>
              <w:pStyle w:val="Compact"/>
              <w:jc w:val="center"/>
            </w:pPr>
            <w:r>
              <w:t xml:space="preserve">0.10</w:t>
            </w:r>
          </w:p>
        </w:tc>
        <w:tc>
          <w:tcPr/>
          <w:p>
            <w:pPr>
              <w:pStyle w:val="Compact"/>
              <w:jc w:val="center"/>
            </w:pPr>
            <w:r>
              <w:t xml:space="preserve">0.31</w:t>
            </w:r>
          </w:p>
        </w:tc>
        <w:tc>
          <w:tcPr/>
          <w:p>
            <w:pPr>
              <w:pStyle w:val="Compact"/>
              <w:jc w:val="center"/>
            </w:pPr>
            <w:r>
              <w:t xml:space="preserve">0.00</w:t>
            </w:r>
          </w:p>
        </w:tc>
        <w:tc>
          <w:tcPr/>
          <w:p>
            <w:pPr>
              <w:pStyle w:val="Compact"/>
              <w:jc w:val="center"/>
            </w:pPr>
            <w:r>
              <w:t xml:space="preserve">1.00</w:t>
            </w:r>
          </w:p>
        </w:tc>
        <w:tc>
          <w:tcPr/>
          <w:p>
            <w:pPr>
              <w:pStyle w:val="Compact"/>
              <w:jc w:val="center"/>
            </w:pPr>
            <w:r>
              <w:t xml:space="preserve">0</w:t>
            </w:r>
          </w:p>
        </w:tc>
        <w:tc>
          <w:tcPr/>
          <w:p>
            <w:pPr>
              <w:pStyle w:val="Compact"/>
              <w:jc w:val="center"/>
            </w:pPr>
            <w:r>
              <w:t xml:space="preserve">1</w:t>
            </w:r>
          </w:p>
        </w:tc>
      </w:tr>
      <w:tr>
        <w:tc>
          <w:tcPr/>
          <w:p>
            <w:pPr>
              <w:pStyle w:val="Compact"/>
              <w:jc w:val="left"/>
            </w:pPr>
            <w:r>
              <w:t xml:space="preserve">Has children</w:t>
            </w:r>
          </w:p>
        </w:tc>
        <w:tc>
          <w:tcPr/>
          <w:p>
            <w:pPr>
              <w:pStyle w:val="Compact"/>
              <w:jc w:val="center"/>
            </w:pPr>
            <w:r>
              <w:t xml:space="preserve">0.08</w:t>
            </w:r>
          </w:p>
        </w:tc>
        <w:tc>
          <w:tcPr/>
          <w:p>
            <w:pPr>
              <w:pStyle w:val="Compact"/>
              <w:jc w:val="center"/>
            </w:pPr>
            <w:r>
              <w:t xml:space="preserve">0.28</w:t>
            </w:r>
          </w:p>
        </w:tc>
        <w:tc>
          <w:tcPr/>
          <w:p>
            <w:pPr>
              <w:pStyle w:val="Compact"/>
              <w:jc w:val="center"/>
            </w:pPr>
            <w:r>
              <w:t xml:space="preserve">0.00</w:t>
            </w:r>
          </w:p>
        </w:tc>
        <w:tc>
          <w:tcPr/>
          <w:p>
            <w:pPr>
              <w:pStyle w:val="Compact"/>
              <w:jc w:val="center"/>
            </w:pPr>
            <w:r>
              <w:t xml:space="preserve">1.00</w:t>
            </w:r>
          </w:p>
        </w:tc>
        <w:tc>
          <w:tcPr/>
          <w:p>
            <w:pPr>
              <w:pStyle w:val="Compact"/>
              <w:jc w:val="center"/>
            </w:pPr>
            <w:r>
              <w:t xml:space="preserve">0</w:t>
            </w:r>
          </w:p>
        </w:tc>
        <w:tc>
          <w:tcPr/>
          <w:p>
            <w:pPr>
              <w:pStyle w:val="Compact"/>
              <w:jc w:val="center"/>
            </w:pPr>
            <w:r>
              <w:t xml:space="preserve">1</w:t>
            </w:r>
          </w:p>
        </w:tc>
      </w:tr>
      <w:tr>
        <w:tc>
          <w:tcPr>
            <w:gridSpan w:val="7"/>
          </w:tcPr>
          <w:p>
            <w:pPr>
              <w:pStyle w:val="Compact"/>
              <w:jc w:val="left"/>
            </w:pPr>
            <w:r>
              <w:rPr>
                <w:i/>
                <w:iCs/>
              </w:rPr>
              <w:t xml:space="preserve">Wages (monthly GHC)</w:t>
            </w:r>
          </w:p>
        </w:tc>
      </w:tr>
      <w:tr>
        <w:tc>
          <w:tcPr/>
          <w:p>
            <w:pPr>
              <w:pStyle w:val="Compact"/>
              <w:jc w:val="left"/>
            </w:pPr>
            <w:r>
              <w:t xml:space="preserve">Minimum WTA</w:t>
            </w:r>
          </w:p>
        </w:tc>
        <w:tc>
          <w:tcPr/>
          <w:p>
            <w:pPr>
              <w:pStyle w:val="Compact"/>
              <w:jc w:val="center"/>
            </w:pPr>
            <w:r>
              <w:t xml:space="preserve">2248</w:t>
            </w:r>
          </w:p>
        </w:tc>
        <w:tc>
          <w:tcPr/>
          <w:p>
            <w:pPr>
              <w:pStyle w:val="Compact"/>
              <w:jc w:val="center"/>
            </w:pPr>
            <w:r>
              <w:t xml:space="preserve">1624</w:t>
            </w:r>
          </w:p>
        </w:tc>
        <w:tc>
          <w:tcPr/>
          <w:p>
            <w:pPr>
              <w:pStyle w:val="Compact"/>
              <w:jc w:val="center"/>
            </w:pPr>
            <w:r>
              <w:t xml:space="preserve">100</w:t>
            </w:r>
          </w:p>
        </w:tc>
        <w:tc>
          <w:tcPr/>
          <w:p>
            <w:pPr>
              <w:pStyle w:val="Compact"/>
              <w:jc w:val="center"/>
            </w:pPr>
            <w:r>
              <w:t xml:space="preserve">4000</w:t>
            </w:r>
          </w:p>
        </w:tc>
        <w:tc>
          <w:tcPr/>
          <w:p>
            <w:pPr>
              <w:pStyle w:val="Compact"/>
              <w:jc w:val="center"/>
            </w:pPr>
            <w:r>
              <w:t xml:space="preserve">18</w:t>
            </w:r>
          </w:p>
        </w:tc>
        <w:tc>
          <w:tcPr/>
          <w:p>
            <w:pPr>
              <w:pStyle w:val="Compact"/>
              <w:jc w:val="center"/>
            </w:pPr>
            <w:r>
              <w:t xml:space="preserve">10000</w:t>
            </w:r>
          </w:p>
        </w:tc>
      </w:tr>
      <w:tr>
        <w:tc>
          <w:tcPr/>
          <w:p>
            <w:pPr>
              <w:pStyle w:val="Compact"/>
              <w:jc w:val="left"/>
            </w:pPr>
            <w:r>
              <w:t xml:space="preserve">Maximum WTA</w:t>
            </w:r>
          </w:p>
        </w:tc>
        <w:tc>
          <w:tcPr/>
          <w:p>
            <w:pPr>
              <w:pStyle w:val="Compact"/>
              <w:jc w:val="center"/>
            </w:pPr>
            <w:r>
              <w:t xml:space="preserve">4260</w:t>
            </w:r>
          </w:p>
        </w:tc>
        <w:tc>
          <w:tcPr/>
          <w:p>
            <w:pPr>
              <w:pStyle w:val="Compact"/>
              <w:jc w:val="center"/>
            </w:pPr>
            <w:r>
              <w:t xml:space="preserve">2647</w:t>
            </w:r>
          </w:p>
        </w:tc>
        <w:tc>
          <w:tcPr/>
          <w:p>
            <w:pPr>
              <w:pStyle w:val="Compact"/>
              <w:jc w:val="center"/>
            </w:pPr>
            <w:r>
              <w:t xml:space="preserve">250</w:t>
            </w:r>
          </w:p>
        </w:tc>
        <w:tc>
          <w:tcPr/>
          <w:p>
            <w:pPr>
              <w:pStyle w:val="Compact"/>
              <w:jc w:val="center"/>
            </w:pPr>
            <w:r>
              <w:t xml:space="preserve">10000</w:t>
            </w:r>
          </w:p>
        </w:tc>
        <w:tc>
          <w:tcPr/>
          <w:p>
            <w:pPr>
              <w:pStyle w:val="Compact"/>
              <w:jc w:val="center"/>
            </w:pPr>
            <w:r>
              <w:t xml:space="preserve">30</w:t>
            </w:r>
          </w:p>
        </w:tc>
        <w:tc>
          <w:tcPr/>
          <w:p>
            <w:pPr>
              <w:pStyle w:val="Compact"/>
              <w:jc w:val="center"/>
            </w:pPr>
            <w:r>
              <w:t xml:space="preserve">10000</w:t>
            </w:r>
          </w:p>
        </w:tc>
      </w:tr>
    </w:tbl>
    <w:bookmarkEnd w:id="9"/>
    <w:p>
      <w:pPr>
        <w:pStyle w:val="BodyText"/>
      </w:pPr>
      <w:r>
        <w:rPr>
          <w:i/>
          <w:iCs/>
        </w:rPr>
        <w:t xml:space="preserve">Notes:</w:t>
      </w:r>
      <w:r>
        <w:t xml:space="preserve"> </w:t>
      </w:r>
      <w:r>
        <w:t xml:space="preserve">Female, Married, and Has children are binary (0/1) indicators; their means equal the share of the sample with that characteristic.</w:t>
      </w:r>
      <w:r>
        <w:t xml:space="preserve"> </w:t>
      </w:r>
      <m:oMath>
        <m:sSub>
          <m:e>
            <m:r>
              <m:t>p</m:t>
            </m:r>
          </m:e>
          <m:sub>
            <m:r>
              <m:t>5</m:t>
            </m:r>
          </m:sub>
        </m:sSub>
      </m:oMath>
      <w:r>
        <w:t xml:space="preserve"> </w:t>
      </w:r>
      <w:r>
        <w:t xml:space="preserve">and</w:t>
      </w:r>
      <w:r>
        <w:t xml:space="preserve"> </w:t>
      </w:r>
      <m:oMath>
        <m:sSub>
          <m:e>
            <m:r>
              <m:t>p</m:t>
            </m:r>
          </m:e>
          <m:sub>
            <m:r>
              <m:t>95</m:t>
            </m:r>
          </m:sub>
        </m:sSub>
      </m:oMath>
      <w:r>
        <w:t xml:space="preserve"> </w:t>
      </w:r>
      <w:r>
        <w:t xml:space="preserve">for wage variables are the winsorization thresholds used in Table </w:t>
      </w:r>
      <w:hyperlink w:anchor="tab:regsw">
        <w:r>
          <w:rPr>
            <w:rStyle w:val="Hyperlink"/>
          </w:rPr>
          <w:t xml:space="preserve">4</w:t>
        </w:r>
      </w:hyperlink>
      <w:r>
        <w:t xml:space="preserve">. Wages standardized to monthly GHC equivalents using a 40-hour, 5-day working week.</w:t>
      </w:r>
    </w:p>
    <w:bookmarkEnd w:id="10"/>
    <w:bookmarkStart w:id="12" w:name="prevalence-of-job-choice-factors"/>
    <w:p>
      <w:pPr>
        <w:pStyle w:val="Heading1"/>
      </w:pPr>
      <w:r>
        <w:t xml:space="preserve">Prevalence of Job-Choice Factors</w:t>
      </w:r>
    </w:p>
    <w:p>
      <w:pPr>
        <w:pStyle w:val="FirstParagraph"/>
      </w:pPr>
      <w:r>
        <w:t xml:space="preserve">Respondents were asked which factors influence their job-choice decisions.</w:t>
      </w:r>
      <w:r>
        <w:t xml:space="preserve"> </w:t>
      </w:r>
      <w:r>
        <w:t xml:space="preserve">Table </w:t>
      </w:r>
      <w:hyperlink w:anchor="tab:social">
        <w:r>
          <w:rPr>
            <w:rStyle w:val="Hyperlink"/>
          </w:rPr>
          <w:t xml:space="preserve">2</w:t>
        </w:r>
      </w:hyperlink>
      <w:r>
        <w:t xml:space="preserve"> </w:t>
      </w:r>
      <w:r>
        <w:t xml:space="preserve">shows the reported prevalence of each factor.</w:t>
      </w:r>
    </w:p>
    <w:bookmarkStart w:id="11" w:name="tab:social"/>
    <w:p>
      <w:pPr>
        <w:pStyle w:val="TableCaption"/>
      </w:pPr>
      <w:r>
        <w:t xml:space="preserve">Respondents Citing Each Factor as Influencing Job Choice (</w:t>
      </w:r>
      <m:oMath>
        <m:r>
          <m:t>n</m:t>
        </m:r>
        <m:r>
          <m:rPr>
            <m:sty m:val="p"/>
          </m:rPr>
          <m:t>=</m:t>
        </m:r>
        <m:r>
          <m:t>48</m:t>
        </m:r>
      </m:oMath>
      <w:r>
        <w:t xml:space="preserve">)</w:t>
      </w:r>
    </w:p>
    <w:tbl>
      <w:tblPr>
        <w:tblStyle w:val="Table"/>
        <w:tblW w:type="auto" w:w="0"/>
        <w:tblLook w:firstRow="1" w:lastRow="0" w:firstColumn="0" w:lastColumn="0" w:noHBand="0" w:noVBand="0" w:val="0020"/>
        <w:tblCaption w:val="Respondents Citing Each Factor as Influencing Job Choice (n = 48)"/>
      </w:tblPr>
      <w:tblGrid>
        <w:gridCol w:w="2640"/>
        <w:gridCol w:w="2640"/>
        <w:gridCol w:w="2640"/>
      </w:tblGrid>
      <w:tr>
        <w:trPr>
          <w:tblHeader w:val="on"/>
        </w:trPr>
        <w:tc>
          <w:tcPr/>
          <w:p>
            <w:pPr>
              <w:pStyle w:val="Compact"/>
              <w:jc w:val="left"/>
            </w:pPr>
            <w:r>
              <w:rPr>
                <w:b/>
                <w:bCs/>
              </w:rPr>
              <w:t xml:space="preserve">Factor</w:t>
            </w:r>
          </w:p>
        </w:tc>
        <w:tc>
          <w:tcPr/>
          <w:p>
            <w:pPr>
              <w:pStyle w:val="Compact"/>
              <w:jc w:val="center"/>
            </w:pPr>
            <w:r>
              <w:rPr>
                <w:b/>
                <w:bCs/>
              </w:rPr>
              <w:t xml:space="preserve">Count</w:t>
            </w:r>
          </w:p>
        </w:tc>
        <w:tc>
          <w:tcPr/>
          <w:p>
            <w:pPr>
              <w:pStyle w:val="Compact"/>
              <w:jc w:val="center"/>
            </w:pPr>
            <w:r>
              <w:rPr>
                <w:b/>
                <w:bCs/>
              </w:rPr>
              <w:t xml:space="preserve">Share</w:t>
            </w:r>
          </w:p>
        </w:tc>
      </w:tr>
      <w:tr>
        <w:tc>
          <w:tcPr/>
          <w:p>
            <w:pPr>
              <w:pStyle w:val="Compact"/>
              <w:jc w:val="left"/>
            </w:pPr>
            <w:r>
              <w:t xml:space="preserve">Professional development</w:t>
            </w:r>
          </w:p>
        </w:tc>
        <w:tc>
          <w:tcPr/>
          <w:p>
            <w:pPr>
              <w:pStyle w:val="Compact"/>
              <w:jc w:val="center"/>
            </w:pPr>
            <w:r>
              <w:t xml:space="preserve">37</w:t>
            </w:r>
          </w:p>
        </w:tc>
        <w:tc>
          <w:tcPr/>
          <w:p>
            <w:pPr>
              <w:pStyle w:val="Compact"/>
              <w:jc w:val="center"/>
            </w:pPr>
            <w:r>
              <w:t xml:space="preserve">77.1%</w:t>
            </w:r>
          </w:p>
        </w:tc>
      </w:tr>
      <w:tr>
        <w:tc>
          <w:tcPr/>
          <w:p>
            <w:pPr>
              <w:pStyle w:val="Compact"/>
              <w:jc w:val="left"/>
            </w:pPr>
            <w:r>
              <w:t xml:space="preserve">Location</w:t>
            </w:r>
          </w:p>
        </w:tc>
        <w:tc>
          <w:tcPr/>
          <w:p>
            <w:pPr>
              <w:pStyle w:val="Compact"/>
              <w:jc w:val="center"/>
            </w:pPr>
            <w:r>
              <w:t xml:space="preserve">36</w:t>
            </w:r>
          </w:p>
        </w:tc>
        <w:tc>
          <w:tcPr/>
          <w:p>
            <w:pPr>
              <w:pStyle w:val="Compact"/>
              <w:jc w:val="center"/>
            </w:pPr>
            <w:r>
              <w:t xml:space="preserve">75.0%</w:t>
            </w:r>
          </w:p>
        </w:tc>
      </w:tr>
      <w:tr>
        <w:tc>
          <w:tcPr/>
          <w:p>
            <w:pPr>
              <w:pStyle w:val="Compact"/>
              <w:jc w:val="left"/>
            </w:pPr>
            <w:r>
              <w:t xml:space="preserve">Hours flexibility</w:t>
            </w:r>
          </w:p>
        </w:tc>
        <w:tc>
          <w:tcPr/>
          <w:p>
            <w:pPr>
              <w:pStyle w:val="Compact"/>
              <w:jc w:val="center"/>
            </w:pPr>
            <w:r>
              <w:t xml:space="preserve">36</w:t>
            </w:r>
          </w:p>
        </w:tc>
        <w:tc>
          <w:tcPr/>
          <w:p>
            <w:pPr>
              <w:pStyle w:val="Compact"/>
              <w:jc w:val="center"/>
            </w:pPr>
            <w:r>
              <w:t xml:space="preserve">75.0%</w:t>
            </w:r>
          </w:p>
        </w:tc>
      </w:tr>
      <w:tr>
        <w:tc>
          <w:tcPr/>
          <w:p>
            <w:pPr>
              <w:pStyle w:val="Compact"/>
              <w:jc w:val="left"/>
            </w:pPr>
            <w:r>
              <w:t xml:space="preserve">Training</w:t>
            </w:r>
          </w:p>
        </w:tc>
        <w:tc>
          <w:tcPr/>
          <w:p>
            <w:pPr>
              <w:pStyle w:val="Compact"/>
              <w:jc w:val="center"/>
            </w:pPr>
            <w:r>
              <w:t xml:space="preserve">30</w:t>
            </w:r>
          </w:p>
        </w:tc>
        <w:tc>
          <w:tcPr/>
          <w:p>
            <w:pPr>
              <w:pStyle w:val="Compact"/>
              <w:jc w:val="center"/>
            </w:pPr>
            <w:r>
              <w:t xml:space="preserve">62.5%</w:t>
            </w:r>
          </w:p>
        </w:tc>
      </w:tr>
      <w:tr>
        <w:tc>
          <w:tcPr/>
          <w:p>
            <w:pPr>
              <w:pStyle w:val="Compact"/>
              <w:jc w:val="left"/>
            </w:pPr>
            <w:r>
              <w:t xml:space="preserve">Qualifications match</w:t>
            </w:r>
          </w:p>
        </w:tc>
        <w:tc>
          <w:tcPr/>
          <w:p>
            <w:pPr>
              <w:pStyle w:val="Compact"/>
              <w:jc w:val="center"/>
            </w:pPr>
            <w:r>
              <w:t xml:space="preserve">19</w:t>
            </w:r>
          </w:p>
        </w:tc>
        <w:tc>
          <w:tcPr/>
          <w:p>
            <w:pPr>
              <w:pStyle w:val="Compact"/>
              <w:jc w:val="center"/>
            </w:pPr>
            <w:r>
              <w:t xml:space="preserve">39.6%</w:t>
            </w:r>
          </w:p>
        </w:tc>
      </w:tr>
      <w:tr>
        <w:tc>
          <w:tcPr/>
          <w:p>
            <w:pPr>
              <w:pStyle w:val="Compact"/>
              <w:jc w:val="left"/>
            </w:pPr>
            <w:r>
              <w:t xml:space="preserve">Promotion prospects</w:t>
            </w:r>
          </w:p>
        </w:tc>
        <w:tc>
          <w:tcPr/>
          <w:p>
            <w:pPr>
              <w:pStyle w:val="Compact"/>
              <w:jc w:val="center"/>
            </w:pPr>
            <w:r>
              <w:t xml:space="preserve">14</w:t>
            </w:r>
          </w:p>
        </w:tc>
        <w:tc>
          <w:tcPr/>
          <w:p>
            <w:pPr>
              <w:pStyle w:val="Compact"/>
              <w:jc w:val="center"/>
            </w:pPr>
            <w:r>
              <w:t xml:space="preserve">29.2%</w:t>
            </w:r>
          </w:p>
        </w:tc>
      </w:tr>
      <w:tr>
        <w:tc>
          <w:tcPr/>
          <w:p>
            <w:pPr>
              <w:pStyle w:val="Compact"/>
              <w:jc w:val="left"/>
            </w:pPr>
            <w:r>
              <w:t xml:space="preserve">Family opinion</w:t>
            </w:r>
          </w:p>
        </w:tc>
        <w:tc>
          <w:tcPr/>
          <w:p>
            <w:pPr>
              <w:pStyle w:val="Compact"/>
              <w:jc w:val="center"/>
            </w:pPr>
            <w:r>
              <w:t xml:space="preserve">6</w:t>
            </w:r>
          </w:p>
        </w:tc>
        <w:tc>
          <w:tcPr/>
          <w:p>
            <w:pPr>
              <w:pStyle w:val="Compact"/>
              <w:jc w:val="center"/>
            </w:pPr>
            <w:r>
              <w:t xml:space="preserve">12.5%</w:t>
            </w:r>
          </w:p>
        </w:tc>
      </w:tr>
      <w:tr>
        <w:tc>
          <w:tcPr/>
          <w:p>
            <w:pPr>
              <w:pStyle w:val="Compact"/>
              <w:jc w:val="left"/>
            </w:pPr>
            <w:r>
              <w:t xml:space="preserve">Peer opinion</w:t>
            </w:r>
          </w:p>
        </w:tc>
        <w:tc>
          <w:tcPr/>
          <w:p>
            <w:pPr>
              <w:pStyle w:val="Compact"/>
              <w:jc w:val="center"/>
            </w:pPr>
            <w:r>
              <w:t xml:space="preserve">1</w:t>
            </w:r>
          </w:p>
        </w:tc>
        <w:tc>
          <w:tcPr/>
          <w:p>
            <w:pPr>
              <w:pStyle w:val="Compact"/>
              <w:jc w:val="center"/>
            </w:pPr>
            <w:r>
              <w:t xml:space="preserve">2.1%</w:t>
            </w:r>
          </w:p>
        </w:tc>
      </w:tr>
      <w:tr>
        <w:tc>
          <w:tcPr>
            <w:gridSpan w:val="3"/>
          </w:tcPr>
          <w:p>
            <w:pPr>
              <w:pStyle w:val="Compact"/>
              <w:jc w:val="left"/>
            </w:pPr>
            <w:r>
              <w:rPr>
                <w:i/>
                <w:iCs/>
              </w:rPr>
              <w:t xml:space="preserve">Note:</w:t>
            </w:r>
            <w:r>
              <w:t xml:space="preserve"> </w:t>
            </w:r>
            <w:r>
              <w:t xml:space="preserve">The one respondent citing peer opinion is included among the six citing family opinion.</w:t>
            </w:r>
          </w:p>
        </w:tc>
      </w:tr>
    </w:tbl>
    <w:bookmarkEnd w:id="11"/>
    <w:p>
      <w:pPr>
        <w:pStyle w:val="BodyText"/>
      </w:pPr>
      <w:r>
        <w:t xml:space="preserve">The striking rarity of stated social influence, particularly peer opinion (cited by</w:t>
      </w:r>
      <w:r>
        <w:t xml:space="preserve"> </w:t>
      </w:r>
      <w:r>
        <w:t xml:space="preserve">only one respondent), sets up an important contrast with the regression results</w:t>
      </w:r>
      <w:r>
        <w:t xml:space="preserve"> </w:t>
      </w:r>
      <w:r>
        <w:t xml:space="preserve">discussed in Section </w:t>
      </w:r>
      <w:hyperlink w:anchor="sec:reg">
        <w:r>
          <w:rPr>
            <w:rStyle w:val="Hyperlink"/>
          </w:rPr>
          <w:t xml:space="preserve">3</w:t>
        </w:r>
      </w:hyperlink>
      <w:r>
        <w:t xml:space="preserve">, where both social factors emerge as statistically</w:t>
      </w:r>
      <w:r>
        <w:t xml:space="preserve"> </w:t>
      </w:r>
      <w:r>
        <w:t xml:space="preserve">significant predictors of the</w:t>
      </w:r>
      <w:r>
        <w:t xml:space="preserve"> </w:t>
      </w:r>
      <w:r>
        <w:rPr>
          <w:i/>
          <w:iCs/>
        </w:rPr>
        <w:t xml:space="preserve">maximum</w:t>
      </w:r>
      <w:r>
        <w:t xml:space="preserve"> </w:t>
      </w:r>
      <w:r>
        <w:t xml:space="preserve">acceptable wage.</w:t>
      </w:r>
    </w:p>
    <w:bookmarkEnd w:id="12"/>
    <w:bookmarkStart w:id="16" w:name="sec:reg"/>
    <w:p>
      <w:pPr>
        <w:pStyle w:val="Heading1"/>
      </w:pPr>
      <w:r>
        <w:t xml:space="preserve">Regression Results</w:t>
      </w:r>
    </w:p>
    <w:p>
      <w:pPr>
        <w:pStyle w:val="FirstParagraph"/>
      </w:pPr>
      <w:r>
        <w:t xml:space="preserve">We estimate four OLS regressions, each using heteroskedasticity-robust standard</w:t>
      </w:r>
      <w:r>
        <w:t xml:space="preserve"> </w:t>
      </w:r>
      <w:r>
        <w:t xml:space="preserve">errors. The outcome is either the minimum or the maximum monthly wage WTA</w:t>
      </w:r>
      <w:r>
        <w:t xml:space="preserve"> </w:t>
      </w:r>
      <w:r>
        <w:t xml:space="preserve">(in GHC). Predictors are eight binary job-factor indicators</w:t>
      </w:r>
      <w:r>
        <w:t xml:space="preserve"> </w:t>
      </w:r>
      <w:r>
        <w:t xml:space="preserve">(location, family opinion, peer opinion, hours flexibility, qualifications match,</w:t>
      </w:r>
      <w:r>
        <w:t xml:space="preserve"> </w:t>
      </w:r>
      <w:r>
        <w:t xml:space="preserve">promotion prospects, professional development, and training). Two specifications</w:t>
      </w:r>
      <w:r>
        <w:t xml:space="preserve"> </w:t>
      </w:r>
      <w:r>
        <w:t xml:space="preserve">add age and gender (female) as demographic controls.</w:t>
      </w:r>
    </w:p>
    <w:p>
      <w:pPr>
        <w:pStyle w:val="BodyText"/>
      </w:pPr>
      <w:r>
        <w:t xml:space="preserve">Table </w:t>
      </w:r>
      <w:hyperlink w:anchor="tab:regs">
        <w:r>
          <w:rPr>
            <w:rStyle w:val="Hyperlink"/>
          </w:rPr>
          <w:t xml:space="preserve">3</w:t>
        </w:r>
      </w:hyperlink>
      <w:r>
        <w:t xml:space="preserve"> </w:t>
      </w:r>
      <w:r>
        <w:t xml:space="preserve">summarizes the direction and significance of notable</w:t>
      </w:r>
      <w:r>
        <w:t xml:space="preserve"> </w:t>
      </w:r>
      <w:r>
        <w:t xml:space="preserve">coefficients. Full regression output is available in the Stata log. Four</w:t>
      </w:r>
      <w:r>
        <w:t xml:space="preserve"> </w:t>
      </w:r>
      <w:r>
        <w:t xml:space="preserve">respondents provided a minimum but not a maximum wage, so models (3) and (4)</w:t>
      </w:r>
      <w:r>
        <w:t xml:space="preserve"> </w:t>
      </w:r>
      <w:r>
        <w:t xml:space="preserve">use 44 observations.</w:t>
      </w:r>
    </w:p>
    <w:bookmarkStart w:id="13" w:name="tab:regs"/>
    <w:p>
      <w:pPr>
        <w:pStyle w:val="TableCaption"/>
      </w:pPr>
      <w:r>
        <w:t xml:space="preserve">Summary of OLS Regression Results</w:t>
      </w:r>
    </w:p>
    <w:tbl>
      <w:tblPr>
        <w:tblStyle w:val="Table"/>
        <w:tblW w:type="auto" w:w="0"/>
        <w:tblLook w:firstRow="1" w:lastRow="0" w:firstColumn="0" w:lastColumn="0" w:noHBand="0" w:noVBand="0" w:val="0020"/>
        <w:tblCaption w:val="Summary of OLS Regression Results"/>
      </w:tblPr>
      <w:tblGrid>
        <w:gridCol w:w="1584"/>
        <w:gridCol w:w="1584"/>
        <w:gridCol w:w="1584"/>
        <w:gridCol w:w="1584"/>
        <w:gridCol w:w="1584"/>
      </w:tblGrid>
      <w:tr>
        <w:trPr>
          <w:tblHeader w:val="on"/>
        </w:trP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2-3</w:t>
            </w:r>
            <w:r>
              <w:t xml:space="preserve">(lr)</w:t>
            </w:r>
            <w:r>
              <w:t xml:space="preserve">4-5</w:t>
            </w:r>
            <w:r>
              <w:t xml:space="preserve"> </w:t>
            </w:r>
            <w:r>
              <w:rPr>
                <w:b/>
                <w:bCs/>
              </w:rPr>
              <w:t xml:space="preserve">Job factor</w:t>
            </w:r>
          </w:p>
        </w:tc>
        <w:tc>
          <w:tcPr/>
          <w:p>
            <w:pPr>
              <w:pStyle w:val="Compact"/>
              <w:jc w:val="left"/>
            </w:pPr>
            <w:r>
              <w:t xml:space="preserve">(1)</w:t>
            </w:r>
          </w:p>
        </w:tc>
        <w:tc>
          <w:tcPr/>
          <w:p>
            <w:pPr>
              <w:pStyle w:val="Compact"/>
              <w:jc w:val="left"/>
            </w:pPr>
            <w:r>
              <w:t xml:space="preserve">(2)</w:t>
            </w:r>
          </w:p>
        </w:tc>
        <w:tc>
          <w:tcPr/>
          <w:p>
            <w:pPr>
              <w:pStyle w:val="Compact"/>
              <w:jc w:val="left"/>
            </w:pPr>
            <w:r>
              <w:t xml:space="preserve">(3)</w:t>
            </w:r>
          </w:p>
        </w:tc>
        <w:tc>
          <w:tcPr/>
          <w:p>
            <w:pPr>
              <w:pStyle w:val="Compact"/>
              <w:jc w:val="left"/>
            </w:pPr>
            <w:r>
              <w:t xml:space="preserve">(4)</w:t>
            </w:r>
          </w:p>
        </w:tc>
      </w:tr>
      <w:tr>
        <w:tc>
          <w:tcPr>
            <w:gridSpan w:val="5"/>
          </w:tcPr>
          <w:p>
            <w:pPr>
              <w:pStyle w:val="Compact"/>
              <w:jc w:val="left"/>
            </w:pPr>
            <w:r>
              <w:rPr>
                <w:i/>
                <w:iCs/>
              </w:rPr>
              <w:t xml:space="preserve">Significant predictors</w:t>
            </w:r>
          </w:p>
        </w:tc>
      </w:tr>
      <w:tr>
        <w:tc>
          <w:tcPr/>
          <w:p>
            <w:pPr>
              <w:pStyle w:val="Compact"/>
              <w:jc w:val="left"/>
            </w:pPr>
            <w:r>
              <w:t xml:space="preserve">Professional development</w:t>
            </w:r>
          </w:p>
        </w:tc>
        <w:tc>
          <w:tcPr/>
          <w:p>
            <w:pPr>
              <w:pStyle w:val="Compact"/>
              <w:jc w:val="left"/>
            </w:pPr>
            <m:oMath>
              <m:r>
                <m:rPr>
                  <m:sty m:val="p"/>
                </m:rPr>
                <m:t>+</m:t>
              </m:r>
            </m:oMath>
            <w:r>
              <w:t xml:space="preserve">**</w:t>
            </w:r>
          </w:p>
        </w:tc>
        <w:tc>
          <w:tcPr/>
          <w:p>
            <w:pPr>
              <w:pStyle w:val="Compact"/>
              <w:jc w:val="left"/>
            </w:pPr>
            <m:oMath>
              <m:r>
                <m:rPr>
                  <m:sty m:val="p"/>
                </m:rPr>
                <m:t>+</m:t>
              </m:r>
            </m:oMath>
            <w:r>
              <w:t xml:space="preserve">**</w:t>
            </w:r>
          </w:p>
        </w:tc>
        <w:tc>
          <w:tcPr/>
          <w:p>
            <w:pPr>
              <w:pStyle w:val="Compact"/>
              <w:jc w:val="left"/>
            </w:pPr>
            <m:oMath>
              <m:r>
                <m:rPr>
                  <m:sty m:val="p"/>
                </m:rPr>
                <m:t>+</m:t>
              </m:r>
            </m:oMath>
            <w:r>
              <w:t xml:space="preserve">***</w:t>
            </w:r>
          </w:p>
        </w:tc>
        <w:tc>
          <w:tcPr/>
          <w:p>
            <w:pPr>
              <w:pStyle w:val="Compact"/>
              <w:jc w:val="left"/>
            </w:pPr>
            <m:oMath>
              <m:r>
                <m:rPr>
                  <m:sty m:val="p"/>
                </m:rPr>
                <m:t>+</m:t>
              </m:r>
            </m:oMath>
            <w:r>
              <w:t xml:space="preserve">***</w:t>
            </w:r>
          </w:p>
        </w:tc>
      </w:tr>
      <w:tr>
        <w:tc>
          <w:tcPr/>
          <w:p>
            <w:pPr>
              <w:pStyle w:val="Compact"/>
              <w:jc w:val="left"/>
            </w:pPr>
            <w:r>
              <w:t xml:space="preserve">Family opinion</w:t>
            </w:r>
          </w:p>
        </w:tc>
        <w:tc>
          <w:tcPr/>
          <w:p>
            <w:pPr>
              <w:pStyle w:val="Compact"/>
              <w:jc w:val="left"/>
            </w:pPr>
            <w:r>
              <w:t xml:space="preserve">ns</w:t>
            </w:r>
          </w:p>
        </w:tc>
        <w:tc>
          <w:tcPr/>
          <w:p>
            <w:pPr>
              <w:pStyle w:val="Compact"/>
              <w:jc w:val="left"/>
            </w:pPr>
            <w:r>
              <w:t xml:space="preserve">ns</w:t>
            </w:r>
          </w:p>
        </w:tc>
        <w:tc>
          <w:tcPr/>
          <w:p>
            <w:pPr>
              <w:pStyle w:val="Compact"/>
              <w:jc w:val="left"/>
            </w:pPr>
            <m:oMath>
              <m:r>
                <m:rPr>
                  <m:sty m:val="p"/>
                </m:rPr>
                <m:t>−</m:t>
              </m:r>
            </m:oMath>
            <w:r>
              <w:t xml:space="preserve">***</w:t>
            </w:r>
          </w:p>
        </w:tc>
        <w:tc>
          <w:tcPr/>
          <w:p>
            <w:pPr>
              <w:pStyle w:val="Compact"/>
              <w:jc w:val="left"/>
            </w:pPr>
            <m:oMath>
              <m:r>
                <m:rPr>
                  <m:sty m:val="p"/>
                </m:rPr>
                <m:t>−</m:t>
              </m:r>
            </m:oMath>
            <w:r>
              <w:t xml:space="preserve">***</w:t>
            </w:r>
          </w:p>
        </w:tc>
      </w:tr>
      <w:tr>
        <w:tc>
          <w:tcPr/>
          <w:p>
            <w:pPr>
              <w:pStyle w:val="Compact"/>
              <w:jc w:val="left"/>
            </w:pPr>
            <w:r>
              <w:t xml:space="preserve">Peer opinion</w:t>
            </w:r>
          </w:p>
        </w:tc>
        <w:tc>
          <w:tcPr/>
          <w:p>
            <w:pPr>
              <w:pStyle w:val="Compact"/>
              <w:jc w:val="left"/>
            </w:pPr>
            <w:r>
              <w:t xml:space="preserve">ns</w:t>
            </w:r>
          </w:p>
        </w:tc>
        <w:tc>
          <w:tcPr/>
          <w:p>
            <w:pPr>
              <w:pStyle w:val="Compact"/>
              <w:jc w:val="left"/>
            </w:pPr>
            <w:r>
              <w:t xml:space="preserve">ns</w:t>
            </w:r>
          </w:p>
        </w:tc>
        <w:tc>
          <w:tcPr/>
          <w:p>
            <w:pPr>
              <w:pStyle w:val="Compact"/>
              <w:jc w:val="left"/>
            </w:pPr>
            <m:oMath>
              <m:r>
                <m:rPr>
                  <m:sty m:val="p"/>
                </m:rPr>
                <m:t>+</m:t>
              </m:r>
            </m:oMath>
            <w:r>
              <w:t xml:space="preserve">***</w:t>
            </w:r>
          </w:p>
        </w:tc>
        <w:tc>
          <w:tcPr/>
          <w:p>
            <w:pPr>
              <w:pStyle w:val="Compact"/>
              <w:jc w:val="left"/>
            </w:pPr>
            <m:oMath>
              <m:r>
                <m:rPr>
                  <m:sty m:val="p"/>
                </m:rPr>
                <m:t>+</m:t>
              </m:r>
            </m:oMath>
            <w:r>
              <w:t xml:space="preserve">**</w:t>
            </w:r>
          </w:p>
        </w:tc>
      </w:tr>
      <w:tr>
        <w:tc>
          <w:tcPr>
            <w:gridSpan w:val="5"/>
          </w:tcPr>
          <w:p>
            <w:pPr>
              <w:pStyle w:val="Compact"/>
              <w:jc w:val="left"/>
            </w:pPr>
            <w:r>
              <w:rPr>
                <w:i/>
                <w:iCs/>
              </w:rPr>
              <w:t xml:space="preserve">Non-significant predictors</w:t>
            </w:r>
          </w:p>
        </w:tc>
      </w:tr>
      <w:tr>
        <w:tc>
          <w:tcPr/>
          <w:p>
            <w:pPr>
              <w:pStyle w:val="Compact"/>
              <w:jc w:val="left"/>
            </w:pPr>
            <w:r>
              <w:t xml:space="preserve">Location</w:t>
            </w:r>
          </w:p>
        </w:tc>
        <w:tc>
          <w:tcPr/>
          <w:p>
            <w:pPr>
              <w:pStyle w:val="Compact"/>
              <w:jc w:val="left"/>
            </w:pPr>
            <w:r>
              <w:t xml:space="preserve">ns</w:t>
            </w:r>
          </w:p>
        </w:tc>
        <w:tc>
          <w:tcPr/>
          <w:p>
            <w:pPr>
              <w:pStyle w:val="Compact"/>
              <w:jc w:val="left"/>
            </w:pPr>
            <w:r>
              <w:t xml:space="preserve">ns</w:t>
            </w:r>
          </w:p>
        </w:tc>
        <w:tc>
          <w:tcPr/>
          <w:p>
            <w:pPr>
              <w:pStyle w:val="Compact"/>
              <w:jc w:val="left"/>
            </w:pPr>
            <w:r>
              <w:t xml:space="preserve">ns</w:t>
            </w:r>
          </w:p>
        </w:tc>
        <w:tc>
          <w:tcPr/>
          <w:p>
            <w:pPr>
              <w:pStyle w:val="Compact"/>
              <w:jc w:val="left"/>
            </w:pPr>
            <w:r>
              <w:t xml:space="preserve">ns</w:t>
            </w:r>
          </w:p>
        </w:tc>
      </w:tr>
      <w:tr>
        <w:tc>
          <w:tcPr/>
          <w:p>
            <w:pPr>
              <w:pStyle w:val="Compact"/>
              <w:jc w:val="left"/>
            </w:pPr>
            <w:r>
              <w:t xml:space="preserve">Hours flexibility</w:t>
            </w:r>
          </w:p>
        </w:tc>
        <w:tc>
          <w:tcPr/>
          <w:p>
            <w:pPr>
              <w:pStyle w:val="Compact"/>
              <w:jc w:val="left"/>
            </w:pPr>
            <w:r>
              <w:t xml:space="preserve">ns</w:t>
            </w:r>
          </w:p>
        </w:tc>
        <w:tc>
          <w:tcPr/>
          <w:p>
            <w:pPr>
              <w:pStyle w:val="Compact"/>
              <w:jc w:val="left"/>
            </w:pPr>
            <w:r>
              <w:t xml:space="preserve">ns</w:t>
            </w:r>
          </w:p>
        </w:tc>
        <w:tc>
          <w:tcPr/>
          <w:p>
            <w:pPr>
              <w:pStyle w:val="Compact"/>
              <w:jc w:val="left"/>
            </w:pPr>
            <w:r>
              <w:t xml:space="preserve">ns</w:t>
            </w:r>
          </w:p>
        </w:tc>
        <w:tc>
          <w:tcPr/>
          <w:p>
            <w:pPr>
              <w:pStyle w:val="Compact"/>
              <w:jc w:val="left"/>
            </w:pPr>
            <w:r>
              <w:t xml:space="preserve">ns</w:t>
            </w:r>
          </w:p>
        </w:tc>
      </w:tr>
      <w:tr>
        <w:tc>
          <w:tcPr/>
          <w:p>
            <w:pPr>
              <w:pStyle w:val="Compact"/>
              <w:jc w:val="left"/>
            </w:pPr>
            <w:r>
              <w:t xml:space="preserve">Qualifications match</w:t>
            </w:r>
          </w:p>
        </w:tc>
        <w:tc>
          <w:tcPr/>
          <w:p>
            <w:pPr>
              <w:pStyle w:val="Compact"/>
              <w:jc w:val="left"/>
            </w:pPr>
            <w:r>
              <w:t xml:space="preserve">ns</w:t>
            </w:r>
          </w:p>
        </w:tc>
        <w:tc>
          <w:tcPr/>
          <w:p>
            <w:pPr>
              <w:pStyle w:val="Compact"/>
              <w:jc w:val="left"/>
            </w:pPr>
            <w:r>
              <w:t xml:space="preserve">ns</w:t>
            </w:r>
          </w:p>
        </w:tc>
        <w:tc>
          <w:tcPr/>
          <w:p>
            <w:pPr>
              <w:pStyle w:val="Compact"/>
              <w:jc w:val="left"/>
            </w:pPr>
            <w:r>
              <w:t xml:space="preserve">ns</w:t>
            </w:r>
          </w:p>
        </w:tc>
        <w:tc>
          <w:tcPr/>
          <w:p>
            <w:pPr>
              <w:pStyle w:val="Compact"/>
              <w:jc w:val="left"/>
            </w:pPr>
            <w:r>
              <w:t xml:space="preserve">ns</w:t>
            </w:r>
          </w:p>
        </w:tc>
      </w:tr>
      <w:tr>
        <w:tc>
          <w:tcPr/>
          <w:p>
            <w:pPr>
              <w:pStyle w:val="Compact"/>
              <w:jc w:val="left"/>
            </w:pPr>
            <w:r>
              <w:t xml:space="preserve">Promotion prospects</w:t>
            </w:r>
          </w:p>
        </w:tc>
        <w:tc>
          <w:tcPr/>
          <w:p>
            <w:pPr>
              <w:pStyle w:val="Compact"/>
              <w:jc w:val="left"/>
            </w:pPr>
            <w:r>
              <w:t xml:space="preserve">ns</w:t>
            </w:r>
          </w:p>
        </w:tc>
        <w:tc>
          <w:tcPr/>
          <w:p>
            <w:pPr>
              <w:pStyle w:val="Compact"/>
              <w:jc w:val="left"/>
            </w:pPr>
            <w:r>
              <w:t xml:space="preserve">ns</w:t>
            </w:r>
          </w:p>
        </w:tc>
        <w:tc>
          <w:tcPr/>
          <w:p>
            <w:pPr>
              <w:pStyle w:val="Compact"/>
              <w:jc w:val="left"/>
            </w:pPr>
            <w:r>
              <w:t xml:space="preserve">ns</w:t>
            </w:r>
          </w:p>
        </w:tc>
        <w:tc>
          <w:tcPr/>
          <w:p>
            <w:pPr>
              <w:pStyle w:val="Compact"/>
              <w:jc w:val="left"/>
            </w:pPr>
            <w:r>
              <w:t xml:space="preserve">ns</w:t>
            </w:r>
          </w:p>
        </w:tc>
      </w:tr>
      <w:tr>
        <w:tc>
          <w:tcPr/>
          <w:p>
            <w:pPr>
              <w:pStyle w:val="Compact"/>
              <w:jc w:val="left"/>
            </w:pPr>
            <w:r>
              <w:t xml:space="preserve">Training</w:t>
            </w:r>
          </w:p>
        </w:tc>
        <w:tc>
          <w:tcPr/>
          <w:p>
            <w:pPr>
              <w:pStyle w:val="Compact"/>
              <w:jc w:val="left"/>
            </w:pPr>
            <w:r>
              <w:t xml:space="preserve">ns</w:t>
            </w:r>
          </w:p>
        </w:tc>
        <w:tc>
          <w:tcPr/>
          <w:p>
            <w:pPr>
              <w:pStyle w:val="Compact"/>
              <w:jc w:val="left"/>
            </w:pPr>
            <w:r>
              <w:t xml:space="preserve">ns</w:t>
            </w:r>
          </w:p>
        </w:tc>
        <w:tc>
          <w:tcPr/>
          <w:p>
            <w:pPr>
              <w:pStyle w:val="Compact"/>
              <w:jc w:val="left"/>
            </w:pPr>
            <w:r>
              <w:t xml:space="preserve">ns</w:t>
            </w:r>
          </w:p>
        </w:tc>
        <w:tc>
          <w:tcPr/>
          <w:p>
            <w:pPr>
              <w:pStyle w:val="Compact"/>
              <w:jc w:val="left"/>
            </w:pPr>
            <w:r>
              <w:t xml:space="preserve">ns</w:t>
            </w:r>
          </w:p>
        </w:tc>
      </w:tr>
      <w:tr>
        <w:tc>
          <w:tcPr/>
          <w:p>
            <w:pPr>
              <w:pStyle w:val="Compact"/>
              <w:jc w:val="left"/>
            </w:pPr>
            <w:r>
              <w:t xml:space="preserve">Controls (age, female)</w:t>
            </w:r>
          </w:p>
        </w:tc>
        <w:tc>
          <w:tcPr/>
          <w:p>
            <w:pPr>
              <w:pStyle w:val="Compact"/>
            </w:pPr>
          </w:p>
        </w:tc>
        <w:tc>
          <w:tcPr/>
          <w:p>
            <w:pPr>
              <w:pStyle w:val="Compact"/>
              <w:jc w:val="left"/>
            </w:pPr>
            <w:r>
              <w:t xml:space="preserve">✓</w:t>
            </w:r>
          </w:p>
        </w:tc>
        <w:tc>
          <w:tcPr/>
          <w:p>
            <w:pPr>
              <w:pStyle w:val="Compact"/>
            </w:pPr>
          </w:p>
        </w:tc>
        <w:tc>
          <w:tcPr/>
          <w:p>
            <w:pPr>
              <w:pStyle w:val="Compact"/>
              <w:jc w:val="left"/>
            </w:pPr>
            <w:r>
              <w:t xml:space="preserve">✓</w:t>
            </w:r>
          </w:p>
        </w:tc>
      </w:tr>
      <w:tr>
        <w:tc>
          <w:tcPr/>
          <w:p>
            <w:pPr>
              <w:pStyle w:val="Compact"/>
              <w:jc w:val="left"/>
            </w:pPr>
            <m:oMath>
              <m:r>
                <m:t>N</m:t>
              </m:r>
            </m:oMath>
          </w:p>
        </w:tc>
        <w:tc>
          <w:tcPr/>
          <w:p>
            <w:pPr>
              <w:pStyle w:val="Compact"/>
            </w:pPr>
          </w:p>
        </w:tc>
        <w:tc>
          <w:tcPr/>
          <w:p>
            <w:pPr>
              <w:pStyle w:val="Compact"/>
            </w:pPr>
          </w:p>
        </w:tc>
        <w:tc>
          <w:tcPr/>
          <w:p>
            <w:pPr>
              <w:pStyle w:val="Compact"/>
            </w:pPr>
          </w:p>
        </w:tc>
        <w:tc>
          <w:tcPr/>
          <w:p>
            <w:pPr>
              <w:pStyle w:val="Compact"/>
            </w:pPr>
          </w:p>
        </w:tc>
      </w:tr>
    </w:tbl>
    <w:bookmarkEnd w:id="13"/>
    <w:p>
      <w:pPr>
        <w:pStyle w:val="BodyText"/>
      </w:pPr>
      <w:r>
        <w:rPr>
          <w:i/>
          <w:iCs/>
        </w:rPr>
        <w:t xml:space="preserve">Note:</w:t>
      </w:r>
      <w:r>
        <w:t xml:space="preserve"> </w:t>
      </w:r>
      <m:oMath>
        <m:r>
          <m:rPr>
            <m:sty m:val="p"/>
          </m:rPr>
          <m:t>+</m:t>
        </m:r>
      </m:oMath>
      <w:r>
        <w:t xml:space="preserve"> </w:t>
      </w:r>
      <w:r>
        <w:t xml:space="preserve">/</w:t>
      </w:r>
      <w:r>
        <w:t xml:space="preserve"> </w:t>
      </w:r>
      <m:oMath>
        <m:r>
          <m:rPr>
            <m:sty m:val="p"/>
          </m:rPr>
          <m:t>−</m:t>
        </m:r>
      </m:oMath>
      <w:r>
        <w:t xml:space="preserve"> </w:t>
      </w:r>
      <w:r>
        <w:t xml:space="preserve">indicates coefficient direction; ns = not significant. ***</w:t>
      </w:r>
      <w:r>
        <w:t xml:space="preserve"> </w:t>
      </w:r>
      <m:oMath>
        <m:r>
          <m:t>p</m:t>
        </m:r>
      </m:oMath>
      <w:r>
        <w:t xml:space="preserve">&lt;0.01, **</w:t>
      </w:r>
      <w:r>
        <w:t xml:space="preserve"> </w:t>
      </w:r>
      <m:oMath>
        <m:r>
          <m:t>p</m:t>
        </m:r>
      </m:oMath>
      <w:r>
        <w:t xml:space="preserve">&lt;0.05 (robust standard errors). Salary excluded from all models (see Section </w:t>
      </w:r>
      <w:hyperlink w:anchor="sec:notes">
        <w:r>
          <w:rPr>
            <w:rStyle w:val="Hyperlink"/>
          </w:rPr>
          <w:t xml:space="preserve">4.0.0.3</w:t>
        </w:r>
      </w:hyperlink>
      <w:r>
        <w:t xml:space="preserve">).</w:t>
      </w:r>
    </w:p>
    <w:bookmarkStart w:id="14" w:name="minimum-wage-wta"/>
    <w:p>
      <w:pPr>
        <w:pStyle w:val="Heading2"/>
      </w:pPr>
      <w:r>
        <w:t xml:space="preserve">Minimum Wage WTA</w:t>
      </w:r>
    </w:p>
    <w:p>
      <w:pPr>
        <w:pStyle w:val="FirstParagraph"/>
      </w:pPr>
      <w:r>
        <w:t xml:space="preserve">Of all job-factor indicators,</w:t>
      </w:r>
      <w:r>
        <w:t xml:space="preserve"> </w:t>
      </w:r>
      <w:r>
        <w:rPr>
          <w:b/>
          <w:bCs/>
        </w:rPr>
        <w:t xml:space="preserve">professional development</w:t>
      </w:r>
      <w:r>
        <w:t xml:space="preserve"> </w:t>
      </w:r>
      <w:r>
        <w:t xml:space="preserve">is the only</w:t>
      </w:r>
      <w:r>
        <w:t xml:space="preserve"> </w:t>
      </w:r>
      <w:r>
        <w:t xml:space="preserve">significant predictor of a respondent’s minimum acceptable wage (significant at</w:t>
      </w:r>
      <w:r>
        <w:t xml:space="preserve"> </w:t>
      </w:r>
      <w:r>
        <w:t xml:space="preserve">the 5% level,</w:t>
      </w:r>
      <w:r>
        <w:t xml:space="preserve"> </w:t>
      </w:r>
      <m:oMath>
        <m:r>
          <m:t>p</m:t>
        </m:r>
        <m:r>
          <m:rPr>
            <m:sty m:val="p"/>
          </m:rPr>
          <m:t>&lt;</m:t>
        </m:r>
        <m:r>
          <m:t>0.05</m:t>
        </m:r>
      </m:oMath>
      <w:r>
        <w:t xml:space="preserve">, in both specifications). The positive coefficient</w:t>
      </w:r>
      <w:r>
        <w:t xml:space="preserve"> </w:t>
      </w:r>
      <w:r>
        <w:t xml:space="preserve">indicates that respondents who cite professional development as important in their</w:t>
      </w:r>
      <w:r>
        <w:t xml:space="preserve"> </w:t>
      </w:r>
      <w:r>
        <w:t xml:space="preserve">job choice name a</w:t>
      </w:r>
      <w:r>
        <w:t xml:space="preserve"> </w:t>
      </w:r>
      <w:r>
        <w:rPr>
          <w:i/>
          <w:iCs/>
        </w:rPr>
        <w:t xml:space="preserve">higher</w:t>
      </w:r>
      <w:r>
        <w:t xml:space="preserve"> </w:t>
      </w:r>
      <w:r>
        <w:t xml:space="preserve">wage floor. This is consistent with a</w:t>
      </w:r>
      <w:r>
        <w:t xml:space="preserve"> </w:t>
      </w:r>
      <w:r>
        <w:t xml:space="preserve">self-selection story: individuals oriented toward career growth may have higher</w:t>
      </w:r>
      <w:r>
        <w:t xml:space="preserve"> </w:t>
      </w:r>
      <w:r>
        <w:t xml:space="preserve">reservation wages, either because they feel their human capital warrants more or</w:t>
      </w:r>
      <w:r>
        <w:t xml:space="preserve"> </w:t>
      </w:r>
      <w:r>
        <w:t xml:space="preserve">because they are willing to wait for a better match. The result is robust to</w:t>
      </w:r>
      <w:r>
        <w:t xml:space="preserve"> </w:t>
      </w:r>
      <w:r>
        <w:t xml:space="preserve">the inclusion of age and gender as controls.</w:t>
      </w:r>
    </w:p>
    <w:p>
      <w:pPr>
        <w:pStyle w:val="BodyText"/>
      </w:pPr>
      <w:r>
        <w:t xml:space="preserve">No other job-factor indicator (location, hours flexibility, qualifications match,</w:t>
      </w:r>
      <w:r>
        <w:t xml:space="preserve"> </w:t>
      </w:r>
      <w:r>
        <w:t xml:space="preserve">promotion, or training) is significantly associated with the minimum WTA.</w:t>
      </w:r>
    </w:p>
    <w:bookmarkEnd w:id="14"/>
    <w:bookmarkStart w:id="15" w:name="maximum-wage-wta"/>
    <w:p>
      <w:pPr>
        <w:pStyle w:val="Heading2"/>
      </w:pPr>
      <w:r>
        <w:t xml:space="preserve">Maximum Wage WTA</w:t>
      </w:r>
    </w:p>
    <w:p>
      <w:pPr>
        <w:pStyle w:val="FirstParagraph"/>
      </w:pPr>
      <w:r>
        <w:t xml:space="preserve">Three job-factor indicators are significantly associated with the maximum</w:t>
      </w:r>
      <w:r>
        <w:t xml:space="preserve"> </w:t>
      </w:r>
      <w:r>
        <w:t xml:space="preserve">acceptable wage (</w:t>
      </w:r>
      <m:oMath>
        <m:r>
          <m:t>n</m:t>
        </m:r>
        <m:r>
          <m:rPr>
            <m:sty m:val="p"/>
          </m:rPr>
          <m:t>=</m:t>
        </m:r>
        <m:r>
          <m:t>44</m:t>
        </m:r>
      </m:oMath>
      <w:r>
        <w:t xml:space="preserve">):</w:t>
      </w:r>
    </w:p>
    <w:p>
      <w:pPr>
        <w:numPr>
          <w:ilvl w:val="0"/>
          <w:numId w:val="1001"/>
        </w:numPr>
      </w:pPr>
      <w:r>
        <w:rPr>
          <w:b/>
          <w:bCs/>
        </w:rPr>
        <w:t xml:space="preserve">Professional development</w:t>
      </w:r>
      <w:r>
        <w:t xml:space="preserve"> </w:t>
      </w:r>
      <w:r>
        <w:t xml:space="preserve">is associated with a significantly</w:t>
      </w:r>
      <w:r>
        <w:t xml:space="preserve"> </w:t>
      </w:r>
      <w:r>
        <w:rPr>
          <w:i/>
          <w:iCs/>
        </w:rPr>
        <w:t xml:space="preserve">higher</w:t>
      </w:r>
      <w:r>
        <w:t xml:space="preserve"> </w:t>
      </w:r>
      <w:r>
        <w:t xml:space="preserve">maximum WTA in both specifications (</w:t>
      </w:r>
      <m:oMath>
        <m:r>
          <m:t>p</m:t>
        </m:r>
        <m:r>
          <m:rPr>
            <m:sty m:val="p"/>
          </m:rPr>
          <m:t>=</m:t>
        </m:r>
        <m:r>
          <m:t>0.009</m:t>
        </m:r>
      </m:oMath>
      <w:r>
        <w:t xml:space="preserve"> </w:t>
      </w:r>
      <w:r>
        <w:t xml:space="preserve">without</w:t>
      </w:r>
      <w:r>
        <w:t xml:space="preserve"> </w:t>
      </w:r>
      <w:r>
        <w:t xml:space="preserve">controls;</w:t>
      </w:r>
      <w:r>
        <w:t xml:space="preserve"> </w:t>
      </w:r>
      <m:oMath>
        <m:r>
          <m:t>p</m:t>
        </m:r>
        <m:r>
          <m:rPr>
            <m:sty m:val="p"/>
          </m:rPr>
          <m:t>=</m:t>
        </m:r>
        <m:r>
          <m:t>0.006</m:t>
        </m:r>
      </m:oMath>
      <w:r>
        <w:t xml:space="preserve"> </w:t>
      </w:r>
      <w:r>
        <w:t xml:space="preserve">with controls). The coefficient is substantially</w:t>
      </w:r>
      <w:r>
        <w:t xml:space="preserve"> </w:t>
      </w:r>
      <w:r>
        <w:t xml:space="preserve">larger for the ceiling than for the floor, suggesting career-oriented</w:t>
      </w:r>
      <w:r>
        <w:t xml:space="preserve"> </w:t>
      </w:r>
      <w:r>
        <w:t xml:space="preserve">graduates set higher aspirations across the board.</w:t>
      </w:r>
    </w:p>
    <w:p>
      <w:pPr>
        <w:numPr>
          <w:ilvl w:val="0"/>
          <w:numId w:val="1001"/>
        </w:numPr>
      </w:pPr>
      <w:r>
        <w:rPr>
          <w:b/>
          <w:bCs/>
        </w:rPr>
        <w:t xml:space="preserve">Family opinion</w:t>
      </w:r>
      <w:r>
        <w:t xml:space="preserve"> </w:t>
      </w:r>
      <w:r>
        <w:t xml:space="preserve">is associated with a significantly</w:t>
      </w:r>
      <w:r>
        <w:t xml:space="preserve"> </w:t>
      </w:r>
      <w:r>
        <w:rPr>
          <w:i/>
          <w:iCs/>
        </w:rPr>
        <w:t xml:space="preserve">lower</w:t>
      </w:r>
      <w:r>
        <w:t xml:space="preserve"> </w:t>
      </w:r>
      <w:r>
        <w:t xml:space="preserve">maximum WTA (</w:t>
      </w:r>
      <m:oMath>
        <m:r>
          <m:t>p</m:t>
        </m:r>
        <m:r>
          <m:rPr>
            <m:sty m:val="p"/>
          </m:rPr>
          <m:t>=</m:t>
        </m:r>
        <m:r>
          <m:t>0.001</m:t>
        </m:r>
      </m:oMath>
      <w:r>
        <w:t xml:space="preserve"> </w:t>
      </w:r>
      <w:r>
        <w:t xml:space="preserve">in both specifications). Respondents who report</w:t>
      </w:r>
      <w:r>
        <w:t xml:space="preserve"> </w:t>
      </w:r>
      <w:r>
        <w:t xml:space="preserve">that family opinion matters in their job choice name a lower ceiling wage.</w:t>
      </w:r>
      <w:r>
        <w:t xml:space="preserve"> </w:t>
      </w:r>
      <w:r>
        <w:t xml:space="preserve">One interpretation is that family networks may channel graduates toward</w:t>
      </w:r>
      <w:r>
        <w:t xml:space="preserve"> </w:t>
      </w:r>
      <w:r>
        <w:t xml:space="preserve">sectors where salaries are typically modest, or may reflect conservative</w:t>
      </w:r>
      <w:r>
        <w:t xml:space="preserve"> </w:t>
      </w:r>
      <w:r>
        <w:t xml:space="preserve">reference points for expected pay in the local graduate labor market.</w:t>
      </w:r>
    </w:p>
    <w:p>
      <w:pPr>
        <w:numPr>
          <w:ilvl w:val="0"/>
          <w:numId w:val="1001"/>
        </w:numPr>
      </w:pPr>
      <w:r>
        <w:rPr>
          <w:b/>
          <w:bCs/>
        </w:rPr>
        <w:t xml:space="preserve">Peer opinion</w:t>
      </w:r>
      <w:r>
        <w:t xml:space="preserve"> </w:t>
      </w:r>
      <w:r>
        <w:t xml:space="preserve">is associated with a significantly</w:t>
      </w:r>
      <w:r>
        <w:t xml:space="preserve"> </w:t>
      </w:r>
      <w:r>
        <w:rPr>
          <w:i/>
          <w:iCs/>
        </w:rPr>
        <w:t xml:space="preserve">higher</w:t>
      </w:r>
      <w:r>
        <w:t xml:space="preserve"> </w:t>
      </w:r>
      <w:r>
        <w:t xml:space="preserve">maximum WTA (</w:t>
      </w:r>
      <m:oMath>
        <m:r>
          <m:t>p</m:t>
        </m:r>
        <m:r>
          <m:rPr>
            <m:sty m:val="p"/>
          </m:rPr>
          <m:t>=</m:t>
        </m:r>
        <m:r>
          <m:t>0.005</m:t>
        </m:r>
      </m:oMath>
      <w:r>
        <w:t xml:space="preserve"> </w:t>
      </w:r>
      <w:r>
        <w:t xml:space="preserve">without controls;</w:t>
      </w:r>
      <w:r>
        <w:t xml:space="preserve"> </w:t>
      </w:r>
      <m:oMath>
        <m:r>
          <m:t>p</m:t>
        </m:r>
        <m:r>
          <m:rPr>
            <m:sty m:val="p"/>
          </m:rPr>
          <m:t>=</m:t>
        </m:r>
        <m:r>
          <m:t>0.026</m:t>
        </m:r>
      </m:oMath>
      <w:r>
        <w:t xml:space="preserve"> </w:t>
      </w:r>
      <w:r>
        <w:t xml:space="preserve">with controls).</w:t>
      </w:r>
      <w:r>
        <w:t xml:space="preserve"> </w:t>
      </w:r>
      <w:r>
        <w:t xml:space="preserve">This could reflect peer networks that set high wage norms, or social</w:t>
      </w:r>
      <w:r>
        <w:t xml:space="preserve"> </w:t>
      </w:r>
      <w:r>
        <w:t xml:space="preserve">comparison dynamics that raise wage aspirations.</w:t>
      </w:r>
    </w:p>
    <w:p>
      <w:pPr>
        <w:pStyle w:val="FirstParagraph"/>
      </w:pPr>
      <w:r>
        <w:t xml:space="preserve">The controlled specification (model 4) also reveals a significant negative</w:t>
      </w:r>
      <w:r>
        <w:t xml:space="preserve"> </w:t>
      </w:r>
      <w:r>
        <w:t xml:space="preserve">association between age and maximum WTA (</w:t>
      </w:r>
      <m:oMath>
        <m:r>
          <m:t>p</m:t>
        </m:r>
        <m:r>
          <m:rPr>
            <m:sty m:val="p"/>
          </m:rPr>
          <m:t>=</m:t>
        </m:r>
        <m:r>
          <m:t>0.044</m:t>
        </m:r>
      </m:oMath>
      <w:r>
        <w:t xml:space="preserve">), suggesting older</w:t>
      </w:r>
      <w:r>
        <w:t xml:space="preserve"> </w:t>
      </w:r>
      <w:r>
        <w:t xml:space="preserve">respondents in the sample set lower wage ceilings.</w:t>
      </w:r>
    </w:p>
    <w:bookmarkEnd w:id="15"/>
    <w:bookmarkEnd w:id="16"/>
    <w:bookmarkStart w:id="21" w:name="noteworthy-observations"/>
    <w:p>
      <w:pPr>
        <w:pStyle w:val="Heading1"/>
      </w:pPr>
      <w:r>
        <w:t xml:space="preserve">Noteworthy Observations</w:t>
      </w:r>
    </w:p>
    <w:bookmarkStart w:id="17" w:name="the-statedrevealed-disconnect."/>
    <w:p>
      <w:pPr>
        <w:pStyle w:val="Heading4"/>
      </w:pPr>
      <w:r>
        <w:t xml:space="preserve">The stated–revealed disconnect.</w:t>
      </w:r>
    </w:p>
    <w:p>
      <w:pPr>
        <w:pStyle w:val="FirstParagraph"/>
      </w:pPr>
      <w:r>
        <w:t xml:space="preserve">The most striking pattern in the data is the mismatch between how</w:t>
      </w:r>
      <w:r>
        <w:t xml:space="preserve"> </w:t>
      </w:r>
      <w:r>
        <w:rPr>
          <w:i/>
          <w:iCs/>
        </w:rPr>
        <w:t xml:space="preserve">few</w:t>
      </w:r>
      <w:r>
        <w:t xml:space="preserve"> </w:t>
      </w:r>
      <w:r>
        <w:t xml:space="preserve">respondents explicitly report social factors as important in their job decisions</w:t>
      </w:r>
      <w:r>
        <w:t xml:space="preserve"> </w:t>
      </w:r>
      <w:r>
        <w:t xml:space="preserve">(1 of 48 for peer opinion; 6 of 48 for family opinion) and the statistical</w:t>
      </w:r>
      <w:r>
        <w:t xml:space="preserve"> </w:t>
      </w:r>
      <w:r>
        <w:t xml:space="preserve">prominence of those same factors in the maximum WTA regressions, where both are</w:t>
      </w:r>
      <w:r>
        <w:t xml:space="preserve"> </w:t>
      </w:r>
      <w:r>
        <w:t xml:space="preserve">significant at the 1% level. This disconnect may indicate that social influences</w:t>
      </w:r>
      <w:r>
        <w:t xml:space="preserve"> </w:t>
      </w:r>
      <w:r>
        <w:t xml:space="preserve">operate at a level respondents do not consciously attribute to their</w:t>
      </w:r>
      <w:r>
        <w:t xml:space="preserve"> </w:t>
      </w:r>
      <w:r>
        <w:t xml:space="preserve">decision-making, an interesting hypothesis to explore in subsequent work.</w:t>
      </w:r>
    </w:p>
    <w:bookmarkEnd w:id="17"/>
    <w:bookmarkStart w:id="18" w:name="X3d0b6edcaf9122b8fd267e3ba134f4740af137e"/>
    <w:p>
      <w:pPr>
        <w:pStyle w:val="Heading4"/>
      </w:pPr>
      <w:r>
        <w:t xml:space="preserve">Asymmetry between social factors and professional development.</w:t>
      </w:r>
    </w:p>
    <w:p>
      <w:pPr>
        <w:pStyle w:val="FirstParagraph"/>
      </w:pPr>
      <w:r>
        <w:t xml:space="preserve">Social factors (family and peer opinion) are significant only for the maximum</w:t>
      </w:r>
      <w:r>
        <w:t xml:space="preserve"> </w:t>
      </w:r>
      <w:r>
        <w:t xml:space="preserve">(ceiling) WTA, not the minimum (floor). Professional development, by contrast,</w:t>
      </w:r>
      <w:r>
        <w:t xml:space="preserve"> </w:t>
      </w:r>
      <w:r>
        <w:t xml:space="preserve">is significant for both: it raises the floor (by roughly GHC 860–870/month)</w:t>
      </w:r>
      <w:r>
        <w:t xml:space="preserve"> </w:t>
      </w:r>
      <w:r>
        <w:t xml:space="preserve">and raises the ceiling by a larger margin (roughly GHC 2,200–2,450/month).</w:t>
      </w:r>
      <w:r>
        <w:t xml:space="preserve"> </w:t>
      </w:r>
      <w:r>
        <w:t xml:space="preserve">This pattern suggests that career-oriented graduates set higher wages across the</w:t>
      </w:r>
      <w:r>
        <w:t xml:space="preserve"> </w:t>
      </w:r>
      <w:r>
        <w:t xml:space="preserve">board, while social reference points shape aspiration levels but not reservation</w:t>
      </w:r>
      <w:r>
        <w:t xml:space="preserve"> </w:t>
      </w:r>
      <w:r>
        <w:t xml:space="preserve">prices.</w:t>
      </w:r>
    </w:p>
    <w:bookmarkEnd w:id="18"/>
    <w:bookmarkStart w:id="19" w:name="sec:notes"/>
    <w:p>
      <w:pPr>
        <w:pStyle w:val="Heading4"/>
      </w:pPr>
      <w:r>
        <w:t xml:space="preserve">Salary excluded from regressions.</w:t>
      </w:r>
    </w:p>
    <w:p>
      <w:pPr>
        <w:pStyle w:val="FirstParagraph"/>
      </w:pPr>
      <w:r>
        <w:t xml:space="preserve">The salary job-factor indicator was not included as a predictor in any regression. This is appropriate: using</w:t>
      </w:r>
      <w:r>
        <w:t xml:space="preserve"> </w:t>
      </w:r>
      <w:r>
        <w:t xml:space="preserve">“does salary matter</w:t>
      </w:r>
      <w:r>
        <w:t xml:space="preserve"> </w:t>
      </w:r>
      <w:r>
        <w:t xml:space="preserve">to you?”</w:t>
      </w:r>
      <w:r>
        <w:t xml:space="preserve"> </w:t>
      </w:r>
      <w:r>
        <w:t xml:space="preserve">as a predictor of the actual salary you demand would introduce a form of</w:t>
      </w:r>
      <w:r>
        <w:t xml:space="preserve"> </w:t>
      </w:r>
      <w:r>
        <w:t xml:space="preserve">circularity (it measures the same underlying construct as the outcome), potentially</w:t>
      </w:r>
      <w:r>
        <w:t xml:space="preserve"> </w:t>
      </w:r>
      <w:r>
        <w:t xml:space="preserve">inflating coefficients and distorting inference on other factors.</w:t>
      </w:r>
    </w:p>
    <w:bookmarkEnd w:id="19"/>
    <w:bookmarkStart w:id="20" w:name="wage-data-heterogeneity."/>
    <w:p>
      <w:pPr>
        <w:pStyle w:val="Heading4"/>
      </w:pPr>
      <w:r>
        <w:t xml:space="preserve">Wage data heterogeneity.</w:t>
      </w:r>
    </w:p>
    <w:p>
      <w:pPr>
        <w:pStyle w:val="FirstParagraph"/>
      </w:pPr>
      <w:r>
        <w:t xml:space="preserve">The free-text wage format produced responses in at least four different time units</w:t>
      </w:r>
      <w:r>
        <w:t xml:space="preserve"> </w:t>
      </w:r>
      <w:r>
        <w:t xml:space="preserve">(hourly, daily, monthly, ranges) and in multiple currencies and spellings. The</w:t>
      </w:r>
      <w:r>
        <w:t xml:space="preserve"> </w:t>
      </w:r>
      <w:r>
        <w:t xml:space="preserve">algorithmic standardization procedure handles these cases, but some uncertainty</w:t>
      </w:r>
      <w:r>
        <w:t xml:space="preserve"> </w:t>
      </w:r>
      <w:r>
        <w:t xml:space="preserve">remains; for example, a respondent who wrote</w:t>
      </w:r>
      <w:r>
        <w:t xml:space="preserve"> </w:t>
      </w:r>
      <w:r>
        <w:t xml:space="preserve">“GHC 3,000 and above”</w:t>
      </w:r>
      <w:r>
        <w:t xml:space="preserve"> </w:t>
      </w:r>
      <w:r>
        <w:t xml:space="preserve">is treated</w:t>
      </w:r>
      <w:r>
        <w:t xml:space="preserve"> </w:t>
      </w:r>
      <w:r>
        <w:t xml:space="preserve">as having stated exactly GHC 3,000. Measurement error in the outcome variable</w:t>
      </w:r>
      <w:r>
        <w:t xml:space="preserve"> </w:t>
      </w:r>
      <w:r>
        <w:t xml:space="preserve">reduces statistical power and may affect regression estimates.</w:t>
      </w:r>
    </w:p>
    <w:bookmarkEnd w:id="20"/>
    <w:bookmarkEnd w:id="21"/>
    <w:bookmarkStart w:id="23" w:name="robustness-winsorized-wages"/>
    <w:p>
      <w:pPr>
        <w:pStyle w:val="Heading1"/>
      </w:pPr>
      <w:r>
        <w:t xml:space="preserve">Robustness: Winsorized Wages</w:t>
      </w:r>
    </w:p>
    <w:p>
      <w:pPr>
        <w:pStyle w:val="FirstParagraph"/>
      </w:pPr>
      <w:r>
        <w:t xml:space="preserve">The raw wage data include extreme values at both ends (e.g. a minimum WTA of GHC 18</w:t>
      </w:r>
      <w:r>
        <w:t xml:space="preserve"> </w:t>
      </w:r>
      <w:r>
        <w:t xml:space="preserve">and a maximum of GHC 10,000 per month) that may reflect measurement or reporting</w:t>
      </w:r>
      <w:r>
        <w:t xml:space="preserve"> </w:t>
      </w:r>
      <w:r>
        <w:t xml:space="preserve">noise rather than genuine preferences. To assess whether these</w:t>
      </w:r>
      <w:r>
        <w:t xml:space="preserve"> </w:t>
      </w:r>
      <w:r>
        <w:t xml:space="preserve">extreme values drive the main results, we re-estimate all four regressions</w:t>
      </w:r>
      <w:r>
        <w:t xml:space="preserve"> </w:t>
      </w:r>
      <w:r>
        <w:t xml:space="preserve">after winsorizing both wage outcomes at the 5th and 95th percentiles: values</w:t>
      </w:r>
      <w:r>
        <w:t xml:space="preserve"> </w:t>
      </w:r>
      <w:r>
        <w:t xml:space="preserve">below the 5th percentile are set to the 5th percentile value, and values above</w:t>
      </w:r>
      <w:r>
        <w:t xml:space="preserve"> </w:t>
      </w:r>
      <w:r>
        <w:t xml:space="preserve">the 95th are set to the 95th. This limits the influence of outliers without</w:t>
      </w:r>
      <w:r>
        <w:t xml:space="preserve"> </w:t>
      </w:r>
      <w:r>
        <w:t xml:space="preserve">discarding any observations.</w:t>
      </w:r>
    </w:p>
    <w:p>
      <w:pPr>
        <w:pStyle w:val="BodyText"/>
      </w:pPr>
      <w:r>
        <w:t xml:space="preserve">Table </w:t>
      </w:r>
      <w:hyperlink w:anchor="tab:regsw">
        <w:r>
          <w:rPr>
            <w:rStyle w:val="Hyperlink"/>
          </w:rPr>
          <w:t xml:space="preserve">4</w:t>
        </w:r>
      </w:hyperlink>
      <w:r>
        <w:t xml:space="preserve"> </w:t>
      </w:r>
      <w:r>
        <w:t xml:space="preserve">reports the results. The winsorization affected 4 minimum-wage</w:t>
      </w:r>
      <w:r>
        <w:t xml:space="preserve"> </w:t>
      </w:r>
      <w:r>
        <w:t xml:space="preserve">observations (2 below GHC 100 and 2 above GHC 4,000) and 2 maximum-wage observations</w:t>
      </w:r>
      <w:r>
        <w:t xml:space="preserve"> </w:t>
      </w:r>
      <w:r>
        <w:t xml:space="preserve">(below GHC 250; none exceeded the 95th percentile of GHC 10,000). All significant</w:t>
      </w:r>
      <w:r>
        <w:t xml:space="preserve"> </w:t>
      </w:r>
      <w:r>
        <w:t xml:space="preserve">findings are robust: professional development retains its sign, direction, and</w:t>
      </w:r>
      <w:r>
        <w:t xml:space="preserve"> </w:t>
      </w:r>
      <w:r>
        <w:t xml:space="preserve">significance for both the minimum (</w:t>
      </w:r>
      <m:oMath>
        <m:r>
          <m:t>p</m:t>
        </m:r>
        <m:r>
          <m:rPr>
            <m:sty m:val="p"/>
          </m:rPr>
          <m:t>=</m:t>
        </m:r>
        <m:r>
          <m:t>0.026</m:t>
        </m:r>
      </m:oMath>
      <w:r>
        <w:t xml:space="preserve">;</w:t>
      </w:r>
      <w:r>
        <w:t xml:space="preserve"> </w:t>
      </w:r>
      <m:oMath>
        <m:r>
          <m:t>p</m:t>
        </m:r>
        <m:r>
          <m:rPr>
            <m:sty m:val="p"/>
          </m:rPr>
          <m:t>=</m:t>
        </m:r>
        <m:r>
          <m:t>0.035</m:t>
        </m:r>
      </m:oMath>
      <w:r>
        <w:t xml:space="preserve"> </w:t>
      </w:r>
      <w:r>
        <w:t xml:space="preserve">with controls) and maximum</w:t>
      </w:r>
      <w:r>
        <w:t xml:space="preserve"> </w:t>
      </w:r>
      <w:r>
        <w:t xml:space="preserve">WTA (</w:t>
      </w:r>
      <m:oMath>
        <m:r>
          <m:t>p</m:t>
        </m:r>
        <m:r>
          <m:rPr>
            <m:sty m:val="p"/>
          </m:rPr>
          <m:t>=</m:t>
        </m:r>
        <m:r>
          <m:t>0.009</m:t>
        </m:r>
      </m:oMath>
      <w:r>
        <w:t xml:space="preserve">;</w:t>
      </w:r>
      <w:r>
        <w:t xml:space="preserve"> </w:t>
      </w:r>
      <m:oMath>
        <m:r>
          <m:t>p</m:t>
        </m:r>
        <m:r>
          <m:rPr>
            <m:sty m:val="p"/>
          </m:rPr>
          <m:t>=</m:t>
        </m:r>
        <m:r>
          <m:t>0.006</m:t>
        </m:r>
      </m:oMath>
      <w:r>
        <w:t xml:space="preserve">), family opinion remains negatively associated with the</w:t>
      </w:r>
      <w:r>
        <w:t xml:space="preserve"> </w:t>
      </w:r>
      <w:r>
        <w:t xml:space="preserve">maximum WTA at the 1% level, and peer opinion remains positive and significant</w:t>
      </w:r>
      <w:r>
        <w:t xml:space="preserve"> </w:t>
      </w:r>
      <w:r>
        <w:t xml:space="preserve">(</w:t>
      </w:r>
      <m:oMath>
        <m:r>
          <m:t>p</m:t>
        </m:r>
        <m:r>
          <m:rPr>
            <m:sty m:val="p"/>
          </m:rPr>
          <m:t>=</m:t>
        </m:r>
        <m:r>
          <m:t>0.005</m:t>
        </m:r>
      </m:oMath>
      <w:r>
        <w:t xml:space="preserve"> </w:t>
      </w:r>
      <w:r>
        <w:t xml:space="preserve">without controls;</w:t>
      </w:r>
      <w:r>
        <w:t xml:space="preserve"> </w:t>
      </w:r>
      <m:oMath>
        <m:r>
          <m:t>p</m:t>
        </m:r>
        <m:r>
          <m:rPr>
            <m:sty m:val="p"/>
          </m:rPr>
          <m:t>=</m:t>
        </m:r>
        <m:r>
          <m:t>0.027</m:t>
        </m:r>
      </m:oMath>
      <w:r>
        <w:t xml:space="preserve"> </w:t>
      </w:r>
      <w:r>
        <w:t xml:space="preserve">with controls). Point estimates for</w:t>
      </w:r>
      <w:r>
        <w:t xml:space="preserve"> </w:t>
      </w:r>
      <w:r>
        <w:t xml:space="preserve">non-significant minimum-WTA predictors shift more (notably training, which roughly</w:t>
      </w:r>
      <w:r>
        <w:t xml:space="preserve"> </w:t>
      </w:r>
      <w:r>
        <w:t xml:space="preserve">halves, and hours flexibility, which moves near zero), though none cross a significance</w:t>
      </w:r>
      <w:r>
        <w:t xml:space="preserve"> </w:t>
      </w:r>
      <w:r>
        <w:t xml:space="preserve">threshold, suggesting those estimates are sensitive to a small number of extreme values.</w:t>
      </w:r>
    </w:p>
    <w:bookmarkStart w:id="22" w:name="tab:regsw"/>
    <w:p>
      <w:pPr>
        <w:pStyle w:val="TableCaption"/>
      </w:pPr>
      <w:r>
        <w:t xml:space="preserve">OLS Regression Results: Winsorized WTA (5th/95th Percentile)</w:t>
      </w:r>
    </w:p>
    <w:tbl>
      <w:tblPr>
        <w:tblStyle w:val="Table"/>
        <w:tblW w:type="auto" w:w="0"/>
        <w:tblLook w:firstRow="1" w:lastRow="0" w:firstColumn="0" w:lastColumn="0" w:noHBand="0" w:noVBand="0" w:val="0020"/>
        <w:tblCaption w:val="OLS Regression Results: Winsorized WTA (5th/95th Percentile)"/>
      </w:tblPr>
      <w:tblGrid>
        <w:gridCol w:w="1584"/>
        <w:gridCol w:w="1584"/>
        <w:gridCol w:w="1584"/>
        <w:gridCol w:w="1584"/>
        <w:gridCol w:w="1584"/>
      </w:tblGrid>
      <w:tr>
        <w:trPr>
          <w:tblHeader w:val="on"/>
        </w:trP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2-3</w:t>
            </w:r>
            <w:r>
              <w:t xml:space="preserve">(lr)</w:t>
            </w:r>
            <w:r>
              <w:t xml:space="preserve">4-5</w:t>
            </w:r>
            <w:r>
              <w:t xml:space="preserve"> </w:t>
            </w:r>
            <w:r>
              <w:rPr>
                <w:b/>
                <w:bCs/>
              </w:rPr>
              <w:t xml:space="preserve">Job factor</w:t>
            </w:r>
          </w:p>
        </w:tc>
        <w:tc>
          <w:tcPr/>
          <w:p>
            <w:pPr>
              <w:pStyle w:val="Compact"/>
              <w:jc w:val="left"/>
            </w:pPr>
            <w:r>
              <w:t xml:space="preserve">(1)</w:t>
            </w:r>
          </w:p>
        </w:tc>
        <w:tc>
          <w:tcPr/>
          <w:p>
            <w:pPr>
              <w:pStyle w:val="Compact"/>
              <w:jc w:val="left"/>
            </w:pPr>
            <w:r>
              <w:t xml:space="preserve">(2)</w:t>
            </w:r>
          </w:p>
        </w:tc>
        <w:tc>
          <w:tcPr/>
          <w:p>
            <w:pPr>
              <w:pStyle w:val="Compact"/>
              <w:jc w:val="left"/>
            </w:pPr>
            <w:r>
              <w:t xml:space="preserve">(3)</w:t>
            </w:r>
          </w:p>
        </w:tc>
        <w:tc>
          <w:tcPr/>
          <w:p>
            <w:pPr>
              <w:pStyle w:val="Compact"/>
              <w:jc w:val="left"/>
            </w:pPr>
            <w:r>
              <w:t xml:space="preserve">(4)</w:t>
            </w:r>
          </w:p>
        </w:tc>
      </w:tr>
      <w:tr>
        <w:tc>
          <w:tcPr>
            <w:gridSpan w:val="5"/>
          </w:tcPr>
          <w:p>
            <w:pPr>
              <w:pStyle w:val="Compact"/>
              <w:jc w:val="left"/>
            </w:pPr>
            <w:r>
              <w:rPr>
                <w:i/>
                <w:iCs/>
              </w:rPr>
              <w:t xml:space="preserve">Significant predictors</w:t>
            </w:r>
          </w:p>
        </w:tc>
      </w:tr>
      <w:tr>
        <w:tc>
          <w:tcPr/>
          <w:p>
            <w:pPr>
              <w:pStyle w:val="Compact"/>
              <w:jc w:val="left"/>
            </w:pPr>
            <w:r>
              <w:t xml:space="preserve">Professional development</w:t>
            </w:r>
          </w:p>
        </w:tc>
        <w:tc>
          <w:tcPr/>
          <w:p>
            <w:pPr>
              <w:pStyle w:val="Compact"/>
              <w:jc w:val="left"/>
            </w:pPr>
            <m:oMath>
              <m:r>
                <m:rPr>
                  <m:sty m:val="p"/>
                </m:rPr>
                <m:t>+</m:t>
              </m:r>
            </m:oMath>
            <w:r>
              <w:t xml:space="preserve">**</w:t>
            </w:r>
          </w:p>
        </w:tc>
        <w:tc>
          <w:tcPr/>
          <w:p>
            <w:pPr>
              <w:pStyle w:val="Compact"/>
              <w:jc w:val="left"/>
            </w:pPr>
            <m:oMath>
              <m:r>
                <m:rPr>
                  <m:sty m:val="p"/>
                </m:rPr>
                <m:t>+</m:t>
              </m:r>
            </m:oMath>
            <w:r>
              <w:t xml:space="preserve">**</w:t>
            </w:r>
          </w:p>
        </w:tc>
        <w:tc>
          <w:tcPr/>
          <w:p>
            <w:pPr>
              <w:pStyle w:val="Compact"/>
              <w:jc w:val="left"/>
            </w:pPr>
            <m:oMath>
              <m:r>
                <m:rPr>
                  <m:sty m:val="p"/>
                </m:rPr>
                <m:t>+</m:t>
              </m:r>
            </m:oMath>
            <w:r>
              <w:t xml:space="preserve">***</w:t>
            </w:r>
          </w:p>
        </w:tc>
        <w:tc>
          <w:tcPr/>
          <w:p>
            <w:pPr>
              <w:pStyle w:val="Compact"/>
              <w:jc w:val="left"/>
            </w:pPr>
            <m:oMath>
              <m:r>
                <m:rPr>
                  <m:sty m:val="p"/>
                </m:rPr>
                <m:t>+</m:t>
              </m:r>
            </m:oMath>
            <w:r>
              <w:t xml:space="preserve">***</w:t>
            </w:r>
          </w:p>
        </w:tc>
      </w:tr>
      <w:tr>
        <w:tc>
          <w:tcPr/>
          <w:p>
            <w:pPr>
              <w:pStyle w:val="Compact"/>
              <w:jc w:val="left"/>
            </w:pPr>
            <w:r>
              <w:t xml:space="preserve">Family opinion</w:t>
            </w:r>
          </w:p>
        </w:tc>
        <w:tc>
          <w:tcPr/>
          <w:p>
            <w:pPr>
              <w:pStyle w:val="Compact"/>
              <w:jc w:val="left"/>
            </w:pPr>
            <w:r>
              <w:t xml:space="preserve">ns</w:t>
            </w:r>
          </w:p>
        </w:tc>
        <w:tc>
          <w:tcPr/>
          <w:p>
            <w:pPr>
              <w:pStyle w:val="Compact"/>
              <w:jc w:val="left"/>
            </w:pPr>
            <w:r>
              <w:t xml:space="preserve">ns</w:t>
            </w:r>
          </w:p>
        </w:tc>
        <w:tc>
          <w:tcPr/>
          <w:p>
            <w:pPr>
              <w:pStyle w:val="Compact"/>
              <w:jc w:val="left"/>
            </w:pPr>
            <m:oMath>
              <m:r>
                <m:rPr>
                  <m:sty m:val="p"/>
                </m:rPr>
                <m:t>−</m:t>
              </m:r>
            </m:oMath>
            <w:r>
              <w:t xml:space="preserve">***</w:t>
            </w:r>
          </w:p>
        </w:tc>
        <w:tc>
          <w:tcPr/>
          <w:p>
            <w:pPr>
              <w:pStyle w:val="Compact"/>
              <w:jc w:val="left"/>
            </w:pPr>
            <m:oMath>
              <m:r>
                <m:rPr>
                  <m:sty m:val="p"/>
                </m:rPr>
                <m:t>−</m:t>
              </m:r>
            </m:oMath>
            <w:r>
              <w:t xml:space="preserve">***</w:t>
            </w:r>
          </w:p>
        </w:tc>
      </w:tr>
      <w:tr>
        <w:tc>
          <w:tcPr/>
          <w:p>
            <w:pPr>
              <w:pStyle w:val="Compact"/>
              <w:jc w:val="left"/>
            </w:pPr>
            <w:r>
              <w:t xml:space="preserve">Peer opinion</w:t>
            </w:r>
          </w:p>
        </w:tc>
        <w:tc>
          <w:tcPr/>
          <w:p>
            <w:pPr>
              <w:pStyle w:val="Compact"/>
              <w:jc w:val="left"/>
            </w:pPr>
            <w:r>
              <w:t xml:space="preserve">ns</w:t>
            </w:r>
          </w:p>
        </w:tc>
        <w:tc>
          <w:tcPr/>
          <w:p>
            <w:pPr>
              <w:pStyle w:val="Compact"/>
              <w:jc w:val="left"/>
            </w:pPr>
            <w:r>
              <w:t xml:space="preserve">ns</w:t>
            </w:r>
          </w:p>
        </w:tc>
        <w:tc>
          <w:tcPr/>
          <w:p>
            <w:pPr>
              <w:pStyle w:val="Compact"/>
              <w:jc w:val="left"/>
            </w:pPr>
            <m:oMath>
              <m:r>
                <m:rPr>
                  <m:sty m:val="p"/>
                </m:rPr>
                <m:t>+</m:t>
              </m:r>
            </m:oMath>
            <w:r>
              <w:t xml:space="preserve">***</w:t>
            </w:r>
          </w:p>
        </w:tc>
        <w:tc>
          <w:tcPr/>
          <w:p>
            <w:pPr>
              <w:pStyle w:val="Compact"/>
              <w:jc w:val="left"/>
            </w:pPr>
            <m:oMath>
              <m:r>
                <m:rPr>
                  <m:sty m:val="p"/>
                </m:rPr>
                <m:t>+</m:t>
              </m:r>
            </m:oMath>
            <w:r>
              <w:t xml:space="preserve">**</w:t>
            </w:r>
          </w:p>
        </w:tc>
      </w:tr>
      <w:tr>
        <w:tc>
          <w:tcPr>
            <w:gridSpan w:val="5"/>
          </w:tcPr>
          <w:p>
            <w:pPr>
              <w:pStyle w:val="Compact"/>
              <w:jc w:val="left"/>
            </w:pPr>
            <w:r>
              <w:rPr>
                <w:i/>
                <w:iCs/>
              </w:rPr>
              <w:t xml:space="preserve">Non-significant predictors</w:t>
            </w:r>
          </w:p>
        </w:tc>
      </w:tr>
      <w:tr>
        <w:tc>
          <w:tcPr/>
          <w:p>
            <w:pPr>
              <w:pStyle w:val="Compact"/>
              <w:jc w:val="left"/>
            </w:pPr>
            <w:r>
              <w:t xml:space="preserve">Location</w:t>
            </w:r>
          </w:p>
        </w:tc>
        <w:tc>
          <w:tcPr/>
          <w:p>
            <w:pPr>
              <w:pStyle w:val="Compact"/>
              <w:jc w:val="left"/>
            </w:pPr>
            <w:r>
              <w:t xml:space="preserve">ns</w:t>
            </w:r>
          </w:p>
        </w:tc>
        <w:tc>
          <w:tcPr/>
          <w:p>
            <w:pPr>
              <w:pStyle w:val="Compact"/>
              <w:jc w:val="left"/>
            </w:pPr>
            <w:r>
              <w:t xml:space="preserve">ns</w:t>
            </w:r>
          </w:p>
        </w:tc>
        <w:tc>
          <w:tcPr/>
          <w:p>
            <w:pPr>
              <w:pStyle w:val="Compact"/>
              <w:jc w:val="left"/>
            </w:pPr>
            <w:r>
              <w:t xml:space="preserve">ns</w:t>
            </w:r>
          </w:p>
        </w:tc>
        <w:tc>
          <w:tcPr/>
          <w:p>
            <w:pPr>
              <w:pStyle w:val="Compact"/>
              <w:jc w:val="left"/>
            </w:pPr>
            <w:r>
              <w:t xml:space="preserve">ns</w:t>
            </w:r>
          </w:p>
        </w:tc>
      </w:tr>
      <w:tr>
        <w:tc>
          <w:tcPr/>
          <w:p>
            <w:pPr>
              <w:pStyle w:val="Compact"/>
              <w:jc w:val="left"/>
            </w:pPr>
            <w:r>
              <w:t xml:space="preserve">Hours flexibility</w:t>
            </w:r>
          </w:p>
        </w:tc>
        <w:tc>
          <w:tcPr/>
          <w:p>
            <w:pPr>
              <w:pStyle w:val="Compact"/>
              <w:jc w:val="left"/>
            </w:pPr>
            <w:r>
              <w:t xml:space="preserve">ns</w:t>
            </w:r>
          </w:p>
        </w:tc>
        <w:tc>
          <w:tcPr/>
          <w:p>
            <w:pPr>
              <w:pStyle w:val="Compact"/>
              <w:jc w:val="left"/>
            </w:pPr>
            <w:r>
              <w:t xml:space="preserve">ns</w:t>
            </w:r>
          </w:p>
        </w:tc>
        <w:tc>
          <w:tcPr/>
          <w:p>
            <w:pPr>
              <w:pStyle w:val="Compact"/>
              <w:jc w:val="left"/>
            </w:pPr>
            <w:r>
              <w:t xml:space="preserve">ns</w:t>
            </w:r>
          </w:p>
        </w:tc>
        <w:tc>
          <w:tcPr/>
          <w:p>
            <w:pPr>
              <w:pStyle w:val="Compact"/>
              <w:jc w:val="left"/>
            </w:pPr>
            <w:r>
              <w:t xml:space="preserve">ns</w:t>
            </w:r>
          </w:p>
        </w:tc>
      </w:tr>
      <w:tr>
        <w:tc>
          <w:tcPr/>
          <w:p>
            <w:pPr>
              <w:pStyle w:val="Compact"/>
              <w:jc w:val="left"/>
            </w:pPr>
            <w:r>
              <w:t xml:space="preserve">Qualifications match</w:t>
            </w:r>
          </w:p>
        </w:tc>
        <w:tc>
          <w:tcPr/>
          <w:p>
            <w:pPr>
              <w:pStyle w:val="Compact"/>
              <w:jc w:val="left"/>
            </w:pPr>
            <w:r>
              <w:t xml:space="preserve">ns</w:t>
            </w:r>
          </w:p>
        </w:tc>
        <w:tc>
          <w:tcPr/>
          <w:p>
            <w:pPr>
              <w:pStyle w:val="Compact"/>
              <w:jc w:val="left"/>
            </w:pPr>
            <w:r>
              <w:t xml:space="preserve">ns</w:t>
            </w:r>
          </w:p>
        </w:tc>
        <w:tc>
          <w:tcPr/>
          <w:p>
            <w:pPr>
              <w:pStyle w:val="Compact"/>
              <w:jc w:val="left"/>
            </w:pPr>
            <w:r>
              <w:t xml:space="preserve">ns</w:t>
            </w:r>
          </w:p>
        </w:tc>
        <w:tc>
          <w:tcPr/>
          <w:p>
            <w:pPr>
              <w:pStyle w:val="Compact"/>
              <w:jc w:val="left"/>
            </w:pPr>
            <w:r>
              <w:t xml:space="preserve">ns</w:t>
            </w:r>
          </w:p>
        </w:tc>
      </w:tr>
      <w:tr>
        <w:tc>
          <w:tcPr/>
          <w:p>
            <w:pPr>
              <w:pStyle w:val="Compact"/>
              <w:jc w:val="left"/>
            </w:pPr>
            <w:r>
              <w:t xml:space="preserve">Promotion prospects</w:t>
            </w:r>
          </w:p>
        </w:tc>
        <w:tc>
          <w:tcPr/>
          <w:p>
            <w:pPr>
              <w:pStyle w:val="Compact"/>
              <w:jc w:val="left"/>
            </w:pPr>
            <w:r>
              <w:t xml:space="preserve">ns</w:t>
            </w:r>
          </w:p>
        </w:tc>
        <w:tc>
          <w:tcPr/>
          <w:p>
            <w:pPr>
              <w:pStyle w:val="Compact"/>
              <w:jc w:val="left"/>
            </w:pPr>
            <w:r>
              <w:t xml:space="preserve">ns</w:t>
            </w:r>
          </w:p>
        </w:tc>
        <w:tc>
          <w:tcPr/>
          <w:p>
            <w:pPr>
              <w:pStyle w:val="Compact"/>
              <w:jc w:val="left"/>
            </w:pPr>
            <w:r>
              <w:t xml:space="preserve">ns</w:t>
            </w:r>
          </w:p>
        </w:tc>
        <w:tc>
          <w:tcPr/>
          <w:p>
            <w:pPr>
              <w:pStyle w:val="Compact"/>
              <w:jc w:val="left"/>
            </w:pPr>
            <w:r>
              <w:t xml:space="preserve">ns</w:t>
            </w:r>
          </w:p>
        </w:tc>
      </w:tr>
      <w:tr>
        <w:tc>
          <w:tcPr/>
          <w:p>
            <w:pPr>
              <w:pStyle w:val="Compact"/>
              <w:jc w:val="left"/>
            </w:pPr>
            <w:r>
              <w:t xml:space="preserve">Training</w:t>
            </w:r>
          </w:p>
        </w:tc>
        <w:tc>
          <w:tcPr/>
          <w:p>
            <w:pPr>
              <w:pStyle w:val="Compact"/>
              <w:jc w:val="left"/>
            </w:pPr>
            <w:r>
              <w:t xml:space="preserve">ns</w:t>
            </w:r>
          </w:p>
        </w:tc>
        <w:tc>
          <w:tcPr/>
          <w:p>
            <w:pPr>
              <w:pStyle w:val="Compact"/>
              <w:jc w:val="left"/>
            </w:pPr>
            <w:r>
              <w:t xml:space="preserve">ns</w:t>
            </w:r>
          </w:p>
        </w:tc>
        <w:tc>
          <w:tcPr/>
          <w:p>
            <w:pPr>
              <w:pStyle w:val="Compact"/>
              <w:jc w:val="left"/>
            </w:pPr>
            <w:r>
              <w:t xml:space="preserve">ns</w:t>
            </w:r>
          </w:p>
        </w:tc>
        <w:tc>
          <w:tcPr/>
          <w:p>
            <w:pPr>
              <w:pStyle w:val="Compact"/>
              <w:jc w:val="left"/>
            </w:pPr>
            <w:r>
              <w:t xml:space="preserve">ns</w:t>
            </w:r>
          </w:p>
        </w:tc>
      </w:tr>
      <w:tr>
        <w:tc>
          <w:tcPr/>
          <w:p>
            <w:pPr>
              <w:pStyle w:val="Compact"/>
              <w:jc w:val="left"/>
            </w:pPr>
            <w:r>
              <w:t xml:space="preserve">Controls (age, female)</w:t>
            </w:r>
          </w:p>
        </w:tc>
        <w:tc>
          <w:tcPr/>
          <w:p>
            <w:pPr>
              <w:pStyle w:val="Compact"/>
            </w:pPr>
          </w:p>
        </w:tc>
        <w:tc>
          <w:tcPr/>
          <w:p>
            <w:pPr>
              <w:pStyle w:val="Compact"/>
              <w:jc w:val="left"/>
            </w:pPr>
            <w:r>
              <w:t xml:space="preserve">✓</w:t>
            </w:r>
          </w:p>
        </w:tc>
        <w:tc>
          <w:tcPr/>
          <w:p>
            <w:pPr>
              <w:pStyle w:val="Compact"/>
            </w:pPr>
          </w:p>
        </w:tc>
        <w:tc>
          <w:tcPr/>
          <w:p>
            <w:pPr>
              <w:pStyle w:val="Compact"/>
              <w:jc w:val="left"/>
            </w:pPr>
            <w:r>
              <w:t xml:space="preserve">✓</w:t>
            </w:r>
          </w:p>
        </w:tc>
      </w:tr>
      <w:tr>
        <w:tc>
          <w:tcPr/>
          <w:p>
            <w:pPr>
              <w:pStyle w:val="Compact"/>
              <w:jc w:val="left"/>
            </w:pPr>
            <m:oMath>
              <m:r>
                <m:t>N</m:t>
              </m:r>
            </m:oMath>
          </w:p>
        </w:tc>
        <w:tc>
          <w:tcPr/>
          <w:p>
            <w:pPr>
              <w:pStyle w:val="Compact"/>
            </w:pPr>
          </w:p>
        </w:tc>
        <w:tc>
          <w:tcPr/>
          <w:p>
            <w:pPr>
              <w:pStyle w:val="Compact"/>
            </w:pPr>
          </w:p>
        </w:tc>
        <w:tc>
          <w:tcPr/>
          <w:p>
            <w:pPr>
              <w:pStyle w:val="Compact"/>
            </w:pPr>
          </w:p>
        </w:tc>
        <w:tc>
          <w:tcPr/>
          <w:p>
            <w:pPr>
              <w:pStyle w:val="Compact"/>
            </w:pPr>
          </w:p>
        </w:tc>
      </w:tr>
    </w:tbl>
    <w:bookmarkEnd w:id="22"/>
    <w:p>
      <w:pPr>
        <w:pStyle w:val="BodyText"/>
      </w:pPr>
      <w:r>
        <w:rPr>
          <w:i/>
          <w:iCs/>
        </w:rPr>
        <w:t xml:space="preserve">Note:</w:t>
      </w:r>
      <w:r>
        <w:t xml:space="preserve"> </w:t>
      </w:r>
      <m:oMath>
        <m:r>
          <m:rPr>
            <m:sty m:val="p"/>
          </m:rPr>
          <m:t>+</m:t>
        </m:r>
      </m:oMath>
      <w:r>
        <w:t xml:space="preserve"> </w:t>
      </w:r>
      <w:r>
        <w:t xml:space="preserve">/</w:t>
      </w:r>
      <w:r>
        <w:t xml:space="preserve"> </w:t>
      </w:r>
      <m:oMath>
        <m:r>
          <m:rPr>
            <m:sty m:val="p"/>
          </m:rPr>
          <m:t>−</m:t>
        </m:r>
      </m:oMath>
      <w:r>
        <w:t xml:space="preserve"> </w:t>
      </w:r>
      <w:r>
        <w:t xml:space="preserve">indicates coefficient direction; ns = not significant. ***</w:t>
      </w:r>
      <w:r>
        <w:t xml:space="preserve"> </w:t>
      </w:r>
      <m:oMath>
        <m:r>
          <m:t>p</m:t>
        </m:r>
      </m:oMath>
      <w:r>
        <w:t xml:space="preserve">&lt;0.01, **</w:t>
      </w:r>
      <w:r>
        <w:t xml:space="preserve"> </w:t>
      </w:r>
      <m:oMath>
        <m:r>
          <m:t>p</m:t>
        </m:r>
      </m:oMath>
      <w:r>
        <w:t xml:space="preserve">&lt;0.05 (robust standard errors). Salary excluded from all models (see Section </w:t>
      </w:r>
      <w:hyperlink w:anchor="sec:notes">
        <w:r>
          <w:rPr>
            <w:rStyle w:val="Hyperlink"/>
          </w:rPr>
          <w:t xml:space="preserve">4.0.0.3</w:t>
        </w:r>
      </w:hyperlink>
      <w:r>
        <w:t xml:space="preserve">).</w:t>
      </w:r>
    </w:p>
    <w:bookmarkEnd w:id="23"/>
    <w:bookmarkStart w:id="24" w:name="next-steps"/>
    <w:p>
      <w:pPr>
        <w:pStyle w:val="Heading1"/>
      </w:pPr>
      <w:r>
        <w:t xml:space="preserve">Next Steps</w:t>
      </w:r>
    </w:p>
    <w:p>
      <w:pPr>
        <w:pStyle w:val="FirstParagraph"/>
      </w:pPr>
      <w:r>
        <w:t xml:space="preserve">The associations documented here, particularly the divergent roles of social factors and</w:t>
      </w:r>
      <w:r>
        <w:t xml:space="preserve"> </w:t>
      </w:r>
      <w:r>
        <w:t xml:space="preserve">professional development across the wage floor and ceiling, provide a useful</w:t>
      </w:r>
      <w:r>
        <w:t xml:space="preserve"> </w:t>
      </w:r>
      <w:r>
        <w:t xml:space="preserve">starting point for designing a pilot RCT that could isolate the mechanisms at play.</w:t>
      </w:r>
      <w:r>
        <w:t xml:space="preserve"> </w:t>
      </w:r>
      <w:r>
        <w:t xml:space="preserve">Expanding the sample and cross-tabulating wage WTA by field of study and graduation</w:t>
      </w:r>
      <w:r>
        <w:t xml:space="preserve"> </w:t>
      </w:r>
      <w:r>
        <w:t xml:space="preserve">year are natural immediate next steps before pilot design.</w:t>
      </w:r>
    </w:p>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Job Preferences and Wage Expectations Among Ghanaian University Graduates</dc:title>
  <dc:creator>Remy Beauregard</dc:creator>
  <cp:keywords/>
  <dcterms:created xsi:type="dcterms:W3CDTF">2026-05-11T19:30:00Z</dcterms:created>
  <dcterms:modified xsi:type="dcterms:W3CDTF">2026-05-11T19:30:00Z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This report summarizes preliminary findings from a baseline survey of 48 Ghanaian university graduates on their wage expectations and the factors that influence their job-choice decisions. Regression analysis reveals that professional development is positively associated with both the minimum and maximum acceptable wage, while two stated social influences, family and peer opinion, are associated only with the maximum: family opinion is associated with a lower ceiling wage and peer opinion with a higher one. These are exploratory patterns intended to inform the design of a pilot RCT.</vt:lpwstr>
  </property>
  <property fmtid="{D5CDD505-2E9C-101B-9397-08002B2CF9AE}" pid="3" name="date">
    <vt:lpwstr>May 2026</vt:lpwstr>
  </property>
</Properties>
</file>