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B436F" w14:textId="77777777" w:rsidR="00F42123" w:rsidRPr="00736667" w:rsidRDefault="00F42123" w:rsidP="00B7223D">
      <w:pPr>
        <w:pBdr>
          <w:bottom w:val="single" w:sz="4" w:space="1" w:color="auto"/>
        </w:pBdr>
        <w:spacing w:line="240" w:lineRule="auto"/>
        <w:jc w:val="center"/>
        <w:rPr>
          <w:rFonts w:ascii="Calibri" w:hAnsi="Calibri" w:cs="Calibri"/>
          <w:b/>
          <w:bCs/>
          <w:sz w:val="22"/>
          <w:szCs w:val="22"/>
        </w:rPr>
      </w:pPr>
      <w:r w:rsidRPr="00736667">
        <w:rPr>
          <w:rFonts w:ascii="Calibri" w:hAnsi="Calibri" w:cs="Calibri"/>
          <w:b/>
          <w:bCs/>
          <w:sz w:val="22"/>
          <w:szCs w:val="22"/>
        </w:rPr>
        <w:t>Activity 1: Mapping the Job-Creation Multiplier</w:t>
      </w:r>
    </w:p>
    <w:p w14:paraId="5946ADEC" w14:textId="77777777" w:rsidR="00F42123" w:rsidRPr="00736667" w:rsidRDefault="00F42123" w:rsidP="00F42123">
      <w:pPr>
        <w:spacing w:line="240" w:lineRule="auto"/>
        <w:rPr>
          <w:rFonts w:ascii="Calibri" w:hAnsi="Calibri" w:cs="Calibri"/>
          <w:b/>
          <w:bCs/>
          <w:sz w:val="22"/>
          <w:szCs w:val="22"/>
        </w:rPr>
      </w:pPr>
      <w:r w:rsidRPr="00736667">
        <w:rPr>
          <w:rFonts w:ascii="Calibri" w:hAnsi="Calibri" w:cs="Calibri"/>
          <w:b/>
          <w:bCs/>
          <w:sz w:val="22"/>
          <w:szCs w:val="22"/>
        </w:rPr>
        <w:t>Strategic Rationale and Links to the Pipeline</w:t>
      </w:r>
    </w:p>
    <w:p w14:paraId="078B2435" w14:textId="77777777" w:rsidR="00F42123" w:rsidRDefault="00F42123" w:rsidP="00F42123">
      <w:pPr>
        <w:spacing w:line="240" w:lineRule="auto"/>
        <w:rPr>
          <w:rFonts w:ascii="Calibri" w:hAnsi="Calibri" w:cs="Calibri"/>
          <w:b/>
          <w:bCs/>
          <w:sz w:val="22"/>
          <w:szCs w:val="22"/>
        </w:rPr>
      </w:pPr>
      <w:r w:rsidRPr="00461CFA">
        <w:rPr>
          <w:rFonts w:ascii="Calibri" w:hAnsi="Calibri" w:cs="Calibri"/>
          <w:sz w:val="22"/>
          <w:szCs w:val="22"/>
        </w:rPr>
        <w:t>This activity generates the employment evidence base needed to inform the implementation of current and future lending operations across the corridor and financial sector portfolio. The Douala-Bangui Economic Corridor Project's implementation choices — which value chains to support, which investor profiles to prioritize, where to concentrate facilitation efforts — require a prior understanding of where employment multipliers are concentrated. Similarly, the Cameroon Finance for Jobs, Inclusion and Growth project, a $200M operation in pipeline for FY2027, can amplify its development impact by channeling MSME financing toward firms with demonstrated high employment elasticities. Drawing on Enterprise Survey data and national firm registries across Cameroon, Gabon, and Equatorial Guinea, the activity provides corridor teams, investment promotion agencies, and financial sector practitioners with an empirical foundation for targeting decisions that are currently made on intuitive grounds.</w:t>
      </w:r>
      <w:r w:rsidRPr="00461CFA">
        <w:rPr>
          <w:rFonts w:ascii="Calibri" w:hAnsi="Calibri" w:cs="Calibri"/>
          <w:b/>
          <w:bCs/>
          <w:sz w:val="22"/>
          <w:szCs w:val="22"/>
        </w:rPr>
        <w:t xml:space="preserve"> </w:t>
      </w:r>
    </w:p>
    <w:p w14:paraId="7FF8C730" w14:textId="77777777" w:rsidR="00F42123" w:rsidRPr="00736667" w:rsidRDefault="00F42123" w:rsidP="00F42123">
      <w:pPr>
        <w:spacing w:line="240" w:lineRule="auto"/>
        <w:rPr>
          <w:rFonts w:ascii="Calibri" w:hAnsi="Calibri" w:cs="Calibri"/>
          <w:b/>
          <w:bCs/>
          <w:sz w:val="22"/>
          <w:szCs w:val="22"/>
        </w:rPr>
      </w:pPr>
      <w:r w:rsidRPr="00736667">
        <w:rPr>
          <w:rFonts w:ascii="Calibri" w:hAnsi="Calibri" w:cs="Calibri"/>
          <w:b/>
          <w:bCs/>
          <w:sz w:val="22"/>
          <w:szCs w:val="22"/>
        </w:rPr>
        <w:t>Phase I: Sectoral Employment Elasticities</w:t>
      </w:r>
    </w:p>
    <w:p w14:paraId="05FE76A6" w14:textId="77777777" w:rsidR="00F42123" w:rsidRPr="00736667" w:rsidRDefault="00F42123" w:rsidP="00F42123">
      <w:pPr>
        <w:spacing w:line="240" w:lineRule="auto"/>
        <w:rPr>
          <w:rFonts w:ascii="Calibri" w:hAnsi="Calibri" w:cs="Calibri"/>
          <w:sz w:val="22"/>
          <w:szCs w:val="22"/>
        </w:rPr>
      </w:pPr>
      <w:r w:rsidRPr="00736667">
        <w:rPr>
          <w:rFonts w:ascii="Calibri" w:hAnsi="Calibri" w:cs="Calibri"/>
          <w:sz w:val="22"/>
          <w:szCs w:val="22"/>
        </w:rPr>
        <w:t>Not all growth is equal from an employment perspective. A dollar of output in oil and gas creates a fraction of the jobs generated by the same dollar in agro-processing or light manufacturing. This phase estimates sectoral employment elasticities — the percentage change in employment for a one percent increase in sectoral output — using cross-sectional regression analysis on firm-level data from Enterprise Surveys and national firm registries across Cameroon, Gabon, and Equatorial Guinea. Elasticities are estimated at the sub-sector level, enabling a granular comparison across tradable and non-tradable activities that is directly relevant to the productive corridor zones along Douala–N'Djamena and Douala–Bangui.</w:t>
      </w:r>
    </w:p>
    <w:p w14:paraId="0E1A7BAD" w14:textId="77777777" w:rsidR="00F42123" w:rsidRPr="00736667" w:rsidRDefault="00F42123" w:rsidP="00F42123">
      <w:pPr>
        <w:spacing w:line="240" w:lineRule="auto"/>
        <w:rPr>
          <w:rFonts w:ascii="Calibri" w:hAnsi="Calibri" w:cs="Calibri"/>
          <w:b/>
          <w:bCs/>
          <w:sz w:val="22"/>
          <w:szCs w:val="22"/>
        </w:rPr>
      </w:pPr>
      <w:r w:rsidRPr="00736667">
        <w:rPr>
          <w:rFonts w:ascii="Calibri" w:hAnsi="Calibri" w:cs="Calibri"/>
          <w:b/>
          <w:bCs/>
          <w:sz w:val="22"/>
          <w:szCs w:val="22"/>
        </w:rPr>
        <w:t>Phase II: Firm Heterogeneity and Global Market Integration</w:t>
      </w:r>
    </w:p>
    <w:p w14:paraId="29074642" w14:textId="77777777" w:rsidR="00F42123" w:rsidRPr="00736667" w:rsidRDefault="00F42123" w:rsidP="00F42123">
      <w:pPr>
        <w:spacing w:line="240" w:lineRule="auto"/>
        <w:rPr>
          <w:rFonts w:ascii="Calibri" w:hAnsi="Calibri" w:cs="Calibri"/>
          <w:sz w:val="22"/>
          <w:szCs w:val="22"/>
        </w:rPr>
      </w:pPr>
      <w:r w:rsidRPr="00736667">
        <w:rPr>
          <w:rFonts w:ascii="Calibri" w:hAnsi="Calibri" w:cs="Calibri"/>
          <w:sz w:val="22"/>
          <w:szCs w:val="22"/>
        </w:rPr>
        <w:t>Raw elasticities at the sector level conceal important variation across firm types. This phase introduces interaction terms to disaggregate employment intensities by export status, firm size, ownership structure, and geographic location relative to the corridor. The goal is to distinguish the employment intensity of competitive, outward-oriented firms — the kind that corridor infrastructure and zone policies should attract — from that of low-productivity, inward-facing enterprises. This distinction is critical for designing investment promotion incentives that accompany the infrastructure pipeline: the Douala-Bangui corridor project's economic development component should be targeting investment facilitation toward the firm profile with the highest employment multiplier, not simply the largest investment value.</w:t>
      </w:r>
    </w:p>
    <w:p w14:paraId="171F247A" w14:textId="77777777" w:rsidR="00F42123" w:rsidRPr="0011194C" w:rsidRDefault="00F42123" w:rsidP="00F42123">
      <w:pPr>
        <w:spacing w:line="240" w:lineRule="auto"/>
        <w:rPr>
          <w:rFonts w:ascii="Calibri" w:hAnsi="Calibri" w:cs="Calibri"/>
          <w:b/>
          <w:bCs/>
          <w:sz w:val="22"/>
          <w:szCs w:val="22"/>
        </w:rPr>
      </w:pPr>
      <w:r w:rsidRPr="00736667">
        <w:rPr>
          <w:rFonts w:ascii="Calibri" w:hAnsi="Calibri" w:cs="Calibri"/>
          <w:b/>
          <w:bCs/>
          <w:sz w:val="22"/>
          <w:szCs w:val="22"/>
        </w:rPr>
        <w:t xml:space="preserve">Phase III: </w:t>
      </w:r>
      <w:r w:rsidRPr="0011194C">
        <w:rPr>
          <w:rFonts w:ascii="Calibri" w:hAnsi="Calibri" w:cs="Calibri"/>
          <w:b/>
          <w:bCs/>
          <w:sz w:val="22"/>
          <w:szCs w:val="22"/>
        </w:rPr>
        <w:t>Business Environment Constraints in High-Potential Sectors</w:t>
      </w:r>
    </w:p>
    <w:p w14:paraId="20C70F46" w14:textId="77777777" w:rsidR="00F42123" w:rsidRDefault="00F42123" w:rsidP="00F42123">
      <w:pPr>
        <w:spacing w:line="240" w:lineRule="auto"/>
        <w:rPr>
          <w:rFonts w:ascii="Calibri" w:hAnsi="Calibri" w:cs="Calibri"/>
          <w:sz w:val="22"/>
          <w:szCs w:val="22"/>
        </w:rPr>
      </w:pPr>
      <w:r w:rsidRPr="0089410F">
        <w:rPr>
          <w:rFonts w:ascii="Calibri" w:hAnsi="Calibri" w:cs="Calibri"/>
          <w:sz w:val="22"/>
          <w:szCs w:val="22"/>
        </w:rPr>
        <w:t xml:space="preserve">Identifying which sectors generate the most employment per unit of output is only useful if paired with an understanding of why firms in those sectors are not already growing faster. This phase uses Enterprise Survey microdata and B-READY scores to map the business environment barriers constraining growth in the high-elasticity sectors identified in Phases I and II. The analysis distinguishes between two categories of constraints. Horizontal constraints — firm registration, access to finance, dispute resolution, labor regulations — apply broadly across sectors and firm types, and their reform generates economy-wide gains regardless of sector prioritization. Sector-specific constraints, by contrast, are particular to the operating conditions of individual value chains: electricity reliability for agro-processors, customs clearance procedures for export-oriented manufacturers, or land titling and permitting for firms seeking to locate along the corridor. By overlaying Enterprise Survey firm-level obstacle data against B-READY's decomposition of regulatory framework, public services, and operational efficiency, the analysis </w:t>
      </w:r>
      <w:r w:rsidRPr="0089410F">
        <w:rPr>
          <w:rFonts w:ascii="Calibri" w:hAnsi="Calibri" w:cs="Calibri"/>
          <w:sz w:val="22"/>
          <w:szCs w:val="22"/>
        </w:rPr>
        <w:lastRenderedPageBreak/>
        <w:t>identifies for each priority sector whether the binding constraint is horizontal or sector-specific in nature — a distinction essential for correctly targeting and sequencing reforms</w:t>
      </w:r>
      <w:r w:rsidRPr="00736667">
        <w:rPr>
          <w:rFonts w:ascii="Calibri" w:hAnsi="Calibri" w:cs="Calibri"/>
          <w:sz w:val="22"/>
          <w:szCs w:val="22"/>
        </w:rPr>
        <w:t>.</w:t>
      </w:r>
    </w:p>
    <w:p w14:paraId="753F3CCD" w14:textId="77777777" w:rsidR="00FE5858" w:rsidRDefault="00FE5858" w:rsidP="00F42123">
      <w:pPr>
        <w:spacing w:line="240" w:lineRule="auto"/>
        <w:rPr>
          <w:rFonts w:ascii="Calibri" w:hAnsi="Calibri" w:cs="Calibri"/>
          <w:sz w:val="22"/>
          <w:szCs w:val="22"/>
        </w:rPr>
      </w:pPr>
    </w:p>
    <w:p w14:paraId="4B832F74" w14:textId="79D1CC96" w:rsidR="00FE5858" w:rsidRPr="00253B9E" w:rsidRDefault="00FE5858" w:rsidP="00FE5858">
      <w:pPr>
        <w:spacing w:line="240" w:lineRule="auto"/>
        <w:rPr>
          <w:rFonts w:ascii="Calibri" w:hAnsi="Calibri" w:cs="Calibri"/>
          <w:sz w:val="22"/>
          <w:szCs w:val="22"/>
        </w:rPr>
      </w:pPr>
      <w:r w:rsidRPr="00253B9E">
        <w:rPr>
          <w:rFonts w:ascii="Calibri" w:hAnsi="Calibri" w:cs="Calibri"/>
          <w:b/>
          <w:bCs/>
          <w:sz w:val="22"/>
          <w:szCs w:val="22"/>
        </w:rPr>
        <w:t>Phase I</w:t>
      </w:r>
      <w:r>
        <w:rPr>
          <w:rFonts w:ascii="Calibri" w:hAnsi="Calibri" w:cs="Calibri"/>
          <w:b/>
          <w:bCs/>
          <w:sz w:val="22"/>
          <w:szCs w:val="22"/>
        </w:rPr>
        <w:t>V</w:t>
      </w:r>
      <w:r w:rsidRPr="00253B9E">
        <w:rPr>
          <w:rFonts w:ascii="Calibri" w:hAnsi="Calibri" w:cs="Calibri"/>
          <w:b/>
          <w:bCs/>
          <w:sz w:val="22"/>
          <w:szCs w:val="22"/>
        </w:rPr>
        <w:t>: Who Gets the Jobs?</w:t>
      </w:r>
      <w:r w:rsidRPr="00253B9E">
        <w:rPr>
          <w:rFonts w:ascii="Calibri" w:hAnsi="Calibri" w:cs="Calibri"/>
          <w:sz w:val="22"/>
          <w:szCs w:val="22"/>
        </w:rPr>
        <w:t> A diversification strategy that creates jobs but leaves behind women, youth, or low-income workers is not a success. This phase</w:t>
      </w:r>
      <w:r>
        <w:rPr>
          <w:rFonts w:ascii="Calibri" w:hAnsi="Calibri" w:cs="Calibri"/>
          <w:sz w:val="22"/>
          <w:szCs w:val="22"/>
        </w:rPr>
        <w:t xml:space="preserve"> (optional – based data availability)</w:t>
      </w:r>
      <w:r w:rsidRPr="00253B9E">
        <w:rPr>
          <w:rFonts w:ascii="Calibri" w:hAnsi="Calibri" w:cs="Calibri"/>
          <w:sz w:val="22"/>
          <w:szCs w:val="22"/>
        </w:rPr>
        <w:t xml:space="preserve"> links the firm-level elasticity estimates to household survey microdata — drawing, where feasible, the UTF parallel workstream — to profile the workforce of each high-potential sector by gender, education level, and income quintile. The linkage is constructed by matching household-reported industry of employment to the ISIC-level elasticity estimates from Phases I and II. The goal is to identify which diversification pathways are most accessible to workers currently in low-productivity agriculture or the informal economy, ensuring that the reform roadmap is both economically sound and socially inclusive.</w:t>
      </w:r>
    </w:p>
    <w:p w14:paraId="19E6EF9E" w14:textId="77777777" w:rsidR="00FE5858" w:rsidRPr="00736667" w:rsidRDefault="00FE5858" w:rsidP="00F42123">
      <w:pPr>
        <w:spacing w:line="240" w:lineRule="auto"/>
        <w:rPr>
          <w:rFonts w:ascii="Calibri" w:hAnsi="Calibri" w:cs="Calibri"/>
          <w:sz w:val="22"/>
          <w:szCs w:val="22"/>
        </w:rPr>
      </w:pPr>
    </w:p>
    <w:p w14:paraId="0FA1B7B1" w14:textId="00A2A250" w:rsidR="00F42123" w:rsidRPr="00736667" w:rsidRDefault="00F42123" w:rsidP="00F42123">
      <w:pPr>
        <w:spacing w:line="240" w:lineRule="auto"/>
        <w:rPr>
          <w:rFonts w:ascii="Calibri" w:hAnsi="Calibri" w:cs="Calibri"/>
          <w:b/>
          <w:bCs/>
          <w:sz w:val="22"/>
          <w:szCs w:val="22"/>
        </w:rPr>
      </w:pPr>
      <w:r w:rsidRPr="00736667">
        <w:rPr>
          <w:rFonts w:ascii="Calibri" w:hAnsi="Calibri" w:cs="Calibri"/>
          <w:b/>
          <w:bCs/>
          <w:sz w:val="22"/>
          <w:szCs w:val="22"/>
        </w:rPr>
        <w:t>Phase V: A Prioritized Reform Roadmap</w:t>
      </w:r>
    </w:p>
    <w:p w14:paraId="4A10AAD0" w14:textId="77777777" w:rsidR="00F42123" w:rsidRDefault="00F42123" w:rsidP="00F42123">
      <w:pPr>
        <w:spacing w:line="240" w:lineRule="auto"/>
        <w:rPr>
          <w:rFonts w:ascii="Calibri" w:hAnsi="Calibri" w:cs="Calibri"/>
          <w:b/>
          <w:bCs/>
          <w:sz w:val="22"/>
          <w:szCs w:val="22"/>
        </w:rPr>
      </w:pPr>
      <w:r w:rsidRPr="00DB102B">
        <w:rPr>
          <w:rFonts w:ascii="Calibri" w:hAnsi="Calibri" w:cs="Calibri"/>
          <w:sz w:val="22"/>
          <w:szCs w:val="22"/>
        </w:rPr>
        <w:t>The activity concludes by integrating the employment elasticity estimates from Phases I and II with the constraint diagnostic from Phase III into a reform roadmap. Sectors are ranked by their employment elasticity and the tractability of their binding constraints, and reforms are organized into two tracks: horizontal reforms that improve conditions across all high-potential sectors simultaneously, and sector-specific interventions that address the particular barriers identified in Phase III.</w:t>
      </w:r>
      <w:r w:rsidRPr="00DB102B">
        <w:rPr>
          <w:rFonts w:ascii="Calibri" w:hAnsi="Calibri" w:cs="Calibri"/>
          <w:b/>
          <w:bCs/>
          <w:sz w:val="22"/>
          <w:szCs w:val="22"/>
        </w:rPr>
        <w:t xml:space="preserve"> </w:t>
      </w:r>
    </w:p>
    <w:p w14:paraId="121E6967" w14:textId="77777777" w:rsidR="00F42123" w:rsidRDefault="00F42123"/>
    <w:sectPr w:rsidR="00F42123">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A495E" w14:textId="77777777" w:rsidR="00B80A22" w:rsidRDefault="00B80A22" w:rsidP="00FE5858">
      <w:pPr>
        <w:spacing w:after="0" w:line="240" w:lineRule="auto"/>
      </w:pPr>
      <w:r>
        <w:separator/>
      </w:r>
    </w:p>
  </w:endnote>
  <w:endnote w:type="continuationSeparator" w:id="0">
    <w:p w14:paraId="32C4114D" w14:textId="77777777" w:rsidR="00B80A22" w:rsidRDefault="00B80A22" w:rsidP="00FE5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7C3D9" w14:textId="4CE343C7" w:rsidR="00FE5858" w:rsidRDefault="00FE5858">
    <w:pPr>
      <w:pStyle w:val="Footer"/>
    </w:pPr>
    <w:r>
      <w:rPr>
        <w:noProof/>
      </w:rPr>
      <mc:AlternateContent>
        <mc:Choice Requires="wps">
          <w:drawing>
            <wp:anchor distT="0" distB="0" distL="0" distR="0" simplePos="0" relativeHeight="251658241" behindDoc="0" locked="0" layoutInCell="1" allowOverlap="1" wp14:anchorId="45AC0169" wp14:editId="70EF2430">
              <wp:simplePos x="635" y="635"/>
              <wp:positionH relativeFrom="page">
                <wp:align>right</wp:align>
              </wp:positionH>
              <wp:positionV relativeFrom="page">
                <wp:align>bottom</wp:align>
              </wp:positionV>
              <wp:extent cx="1170305" cy="370205"/>
              <wp:effectExtent l="0" t="0" r="0" b="0"/>
              <wp:wrapNone/>
              <wp:docPr id="294969227" name="Text Box 2" descr="Official Use Only">
                <a:extLst xmlns:a="http://schemas.openxmlformats.org/drawingml/2006/main">
                  <a:ext uri="{FF2B5EF4-FFF2-40B4-BE49-F238E27FC236}">
                    <a16:creationId xmlns:a16="http://schemas.microsoft.com/office/drawing/2014/main" id="{190C08DC-FCB5-47E9-81F3-CA5FCD7D1AED}"/>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7626A6BF" w14:textId="43D7F1B6" w:rsidR="00FE5858" w:rsidRPr="00FE5858" w:rsidRDefault="00FE5858" w:rsidP="00FE5858">
                          <w:pPr>
                            <w:spacing w:after="0"/>
                            <w:rPr>
                              <w:rFonts w:ascii="Aptos" w:eastAsia="Aptos" w:hAnsi="Aptos" w:cs="Aptos"/>
                              <w:noProof/>
                              <w:color w:val="000000"/>
                              <w:sz w:val="20"/>
                              <w:szCs w:val="20"/>
                            </w:rPr>
                          </w:pPr>
                          <w:r w:rsidRPr="00FE5858">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5AC0169" id="_x0000_t202" coordsize="21600,21600" o:spt="202" path="m,l,21600r21600,l21600,xe">
              <v:stroke joinstyle="miter"/>
              <v:path gradientshapeok="t" o:connecttype="rect"/>
            </v:shapetype>
            <v:shape id="Text Box 2" o:spid="_x0000_s1026" type="#_x0000_t202" alt="Official Use Only" style="position:absolute;margin-left:40.95pt;margin-top:0;width:92.15pt;height:29.1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" filled="f" stroked="f">
              <v:textbox style="mso-fit-shape-to-text:t" inset="0,0,20pt,15pt">
                <w:txbxContent>
                  <w:p w14:paraId="7626A6BF" w14:textId="43D7F1B6" w:rsidR="00FE5858" w:rsidRPr="00FE5858" w:rsidRDefault="00FE5858" w:rsidP="00FE5858">
                    <w:pPr>
                      <w:spacing w:after="0"/>
                      <w:rPr>
                        <w:rFonts w:ascii="Aptos" w:eastAsia="Aptos" w:hAnsi="Aptos" w:cs="Aptos"/>
                        <w:noProof/>
                        <w:color w:val="000000"/>
                        <w:sz w:val="20"/>
                        <w:szCs w:val="20"/>
                      </w:rPr>
                    </w:pPr>
                    <w:r w:rsidRPr="00FE5858">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90EF5" w14:textId="048328A4" w:rsidR="00FE5858" w:rsidRDefault="00FE5858">
    <w:pPr>
      <w:pStyle w:val="Footer"/>
    </w:pPr>
    <w:r>
      <w:rPr>
        <w:noProof/>
      </w:rPr>
      <mc:AlternateContent>
        <mc:Choice Requires="wps">
          <w:drawing>
            <wp:anchor distT="0" distB="0" distL="0" distR="0" simplePos="0" relativeHeight="251658242" behindDoc="0" locked="0" layoutInCell="1" allowOverlap="1" wp14:anchorId="36BABBCC" wp14:editId="27D690E5">
              <wp:simplePos x="914400" y="9415549"/>
              <wp:positionH relativeFrom="page">
                <wp:align>right</wp:align>
              </wp:positionH>
              <wp:positionV relativeFrom="page">
                <wp:align>bottom</wp:align>
              </wp:positionV>
              <wp:extent cx="1170305" cy="370205"/>
              <wp:effectExtent l="0" t="0" r="0" b="0"/>
              <wp:wrapNone/>
              <wp:docPr id="340361691" name="Text Box 3" descr="Official Use Only">
                <a:extLst xmlns:a="http://schemas.openxmlformats.org/drawingml/2006/main">
                  <a:ext uri="{FF2B5EF4-FFF2-40B4-BE49-F238E27FC236}">
                    <a16:creationId xmlns:a16="http://schemas.microsoft.com/office/drawing/2014/main" id="{3C188FAA-1CC5-426B-8A33-77CE8B47AA3E}"/>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5A83B2C3" w14:textId="096DC54D" w:rsidR="00FE5858" w:rsidRPr="00FE5858" w:rsidRDefault="00FE5858" w:rsidP="00FE5858">
                          <w:pPr>
                            <w:spacing w:after="0"/>
                            <w:rPr>
                              <w:rFonts w:ascii="Aptos" w:eastAsia="Aptos" w:hAnsi="Aptos" w:cs="Aptos"/>
                              <w:noProof/>
                              <w:color w:val="000000"/>
                              <w:sz w:val="20"/>
                              <w:szCs w:val="20"/>
                            </w:rPr>
                          </w:pPr>
                          <w:r w:rsidRPr="00FE5858">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6BABBCC" id="_x0000_t202" coordsize="21600,21600" o:spt="202" path="m,l,21600r21600,l21600,xe">
              <v:stroke joinstyle="miter"/>
              <v:path gradientshapeok="t" o:connecttype="rect"/>
            </v:shapetype>
            <v:shape id="Text Box 3" o:spid="_x0000_s1027" type="#_x0000_t202" alt="Official Use Only" style="position:absolute;margin-left:40.95pt;margin-top:0;width:92.15pt;height:29.1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" filled="f" stroked="f">
              <v:textbox style="mso-fit-shape-to-text:t" inset="0,0,20pt,15pt">
                <w:txbxContent>
                  <w:p w14:paraId="5A83B2C3" w14:textId="096DC54D" w:rsidR="00FE5858" w:rsidRPr="00FE5858" w:rsidRDefault="00FE5858" w:rsidP="00FE5858">
                    <w:pPr>
                      <w:spacing w:after="0"/>
                      <w:rPr>
                        <w:rFonts w:ascii="Aptos" w:eastAsia="Aptos" w:hAnsi="Aptos" w:cs="Aptos"/>
                        <w:noProof/>
                        <w:color w:val="000000"/>
                        <w:sz w:val="20"/>
                        <w:szCs w:val="20"/>
                      </w:rPr>
                    </w:pPr>
                    <w:r w:rsidRPr="00FE5858">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D4E26" w14:textId="3B0B5A9E" w:rsidR="00FE5858" w:rsidRDefault="00FE5858">
    <w:pPr>
      <w:pStyle w:val="Footer"/>
    </w:pPr>
    <w:r>
      <w:rPr>
        <w:noProof/>
      </w:rPr>
      <mc:AlternateContent>
        <mc:Choice Requires="wps">
          <w:drawing>
            <wp:anchor distT="0" distB="0" distL="0" distR="0" simplePos="0" relativeHeight="251658240" behindDoc="0" locked="0" layoutInCell="1" allowOverlap="1" wp14:anchorId="3DA03C29" wp14:editId="0E5C5827">
              <wp:simplePos x="635" y="635"/>
              <wp:positionH relativeFrom="page">
                <wp:align>right</wp:align>
              </wp:positionH>
              <wp:positionV relativeFrom="page">
                <wp:align>bottom</wp:align>
              </wp:positionV>
              <wp:extent cx="1170305" cy="370205"/>
              <wp:effectExtent l="0" t="0" r="0" b="0"/>
              <wp:wrapNone/>
              <wp:docPr id="499605178" name="Text Box 1" descr="Official Use Only">
                <a:extLst xmlns:a="http://schemas.openxmlformats.org/drawingml/2006/main">
                  <a:ext uri="{FF2B5EF4-FFF2-40B4-BE49-F238E27FC236}">
                    <a16:creationId xmlns:a16="http://schemas.microsoft.com/office/drawing/2014/main" id="{1BC3C177-268F-4EAB-A7D7-5BE3ED6B1535}"/>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40ED39B3" w14:textId="67CB63E3" w:rsidR="00FE5858" w:rsidRPr="00FE5858" w:rsidRDefault="00FE5858" w:rsidP="00FE5858">
                          <w:pPr>
                            <w:spacing w:after="0"/>
                            <w:rPr>
                              <w:rFonts w:ascii="Aptos" w:eastAsia="Aptos" w:hAnsi="Aptos" w:cs="Aptos"/>
                              <w:noProof/>
                              <w:color w:val="000000"/>
                              <w:sz w:val="20"/>
                              <w:szCs w:val="20"/>
                            </w:rPr>
                          </w:pPr>
                          <w:r w:rsidRPr="00FE5858">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DA03C29" id="_x0000_t202" coordsize="21600,21600" o:spt="202" path="m,l,21600r21600,l21600,xe">
              <v:stroke joinstyle="miter"/>
              <v:path gradientshapeok="t" o:connecttype="rect"/>
            </v:shapetype>
            <v:shape id="Text Box 1" o:spid="_x0000_s1028" type="#_x0000_t202" alt="Official Use Only" style="position:absolute;margin-left:40.95pt;margin-top:0;width:92.1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" filled="f" stroked="f">
              <v:textbox style="mso-fit-shape-to-text:t" inset="0,0,20pt,15pt">
                <w:txbxContent>
                  <w:p w14:paraId="40ED39B3" w14:textId="67CB63E3" w:rsidR="00FE5858" w:rsidRPr="00FE5858" w:rsidRDefault="00FE5858" w:rsidP="00FE5858">
                    <w:pPr>
                      <w:spacing w:after="0"/>
                      <w:rPr>
                        <w:rFonts w:ascii="Aptos" w:eastAsia="Aptos" w:hAnsi="Aptos" w:cs="Aptos"/>
                        <w:noProof/>
                        <w:color w:val="000000"/>
                        <w:sz w:val="20"/>
                        <w:szCs w:val="20"/>
                      </w:rPr>
                    </w:pPr>
                    <w:r w:rsidRPr="00FE5858">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47468" w14:textId="77777777" w:rsidR="00B80A22" w:rsidRDefault="00B80A22" w:rsidP="00FE5858">
      <w:pPr>
        <w:spacing w:after="0" w:line="240" w:lineRule="auto"/>
      </w:pPr>
      <w:r>
        <w:separator/>
      </w:r>
    </w:p>
  </w:footnote>
  <w:footnote w:type="continuationSeparator" w:id="0">
    <w:p w14:paraId="2ED631DE" w14:textId="77777777" w:rsidR="00B80A22" w:rsidRDefault="00B80A22" w:rsidP="00FE58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123"/>
    <w:rsid w:val="00061E6A"/>
    <w:rsid w:val="0006376D"/>
    <w:rsid w:val="00072079"/>
    <w:rsid w:val="00406CE3"/>
    <w:rsid w:val="00416ABA"/>
    <w:rsid w:val="005016AE"/>
    <w:rsid w:val="006159A1"/>
    <w:rsid w:val="00782F9B"/>
    <w:rsid w:val="00850D31"/>
    <w:rsid w:val="008A3290"/>
    <w:rsid w:val="008D5C5B"/>
    <w:rsid w:val="009C2E1D"/>
    <w:rsid w:val="009F7E01"/>
    <w:rsid w:val="00B7223D"/>
    <w:rsid w:val="00B80A22"/>
    <w:rsid w:val="00BD5058"/>
    <w:rsid w:val="00D26BB8"/>
    <w:rsid w:val="00D42B4A"/>
    <w:rsid w:val="00E07355"/>
    <w:rsid w:val="00F42123"/>
    <w:rsid w:val="00F51E78"/>
    <w:rsid w:val="00FD0DD1"/>
    <w:rsid w:val="00FE5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E5329"/>
  <w15:chartTrackingRefBased/>
  <w15:docId w15:val="{FA7136E1-761B-405E-B674-F50216280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123"/>
  </w:style>
  <w:style w:type="paragraph" w:styleId="Heading1">
    <w:name w:val="heading 1"/>
    <w:basedOn w:val="Normal"/>
    <w:next w:val="Normal"/>
    <w:link w:val="Heading1Char"/>
    <w:uiPriority w:val="9"/>
    <w:qFormat/>
    <w:rsid w:val="00F421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1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1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1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1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1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1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1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1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1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1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1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1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1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1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1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1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123"/>
    <w:rPr>
      <w:rFonts w:eastAsiaTheme="majorEastAsia" w:cstheme="majorBidi"/>
      <w:color w:val="272727" w:themeColor="text1" w:themeTint="D8"/>
    </w:rPr>
  </w:style>
  <w:style w:type="paragraph" w:styleId="Title">
    <w:name w:val="Title"/>
    <w:basedOn w:val="Normal"/>
    <w:next w:val="Normal"/>
    <w:link w:val="TitleChar"/>
    <w:uiPriority w:val="10"/>
    <w:qFormat/>
    <w:rsid w:val="00F42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1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1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1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123"/>
    <w:pPr>
      <w:spacing w:before="160"/>
      <w:jc w:val="center"/>
    </w:pPr>
    <w:rPr>
      <w:i/>
      <w:iCs/>
      <w:color w:val="404040" w:themeColor="text1" w:themeTint="BF"/>
    </w:rPr>
  </w:style>
  <w:style w:type="character" w:customStyle="1" w:styleId="QuoteChar">
    <w:name w:val="Quote Char"/>
    <w:basedOn w:val="DefaultParagraphFont"/>
    <w:link w:val="Quote"/>
    <w:uiPriority w:val="29"/>
    <w:rsid w:val="00F42123"/>
    <w:rPr>
      <w:i/>
      <w:iCs/>
      <w:color w:val="404040" w:themeColor="text1" w:themeTint="BF"/>
    </w:rPr>
  </w:style>
  <w:style w:type="paragraph" w:styleId="ListParagraph">
    <w:name w:val="List Paragraph"/>
    <w:basedOn w:val="Normal"/>
    <w:uiPriority w:val="34"/>
    <w:qFormat/>
    <w:rsid w:val="00F42123"/>
    <w:pPr>
      <w:ind w:left="720"/>
      <w:contextualSpacing/>
    </w:pPr>
  </w:style>
  <w:style w:type="character" w:styleId="IntenseEmphasis">
    <w:name w:val="Intense Emphasis"/>
    <w:basedOn w:val="DefaultParagraphFont"/>
    <w:uiPriority w:val="21"/>
    <w:qFormat/>
    <w:rsid w:val="00F42123"/>
    <w:rPr>
      <w:i/>
      <w:iCs/>
      <w:color w:val="0F4761" w:themeColor="accent1" w:themeShade="BF"/>
    </w:rPr>
  </w:style>
  <w:style w:type="paragraph" w:styleId="IntenseQuote">
    <w:name w:val="Intense Quote"/>
    <w:basedOn w:val="Normal"/>
    <w:next w:val="Normal"/>
    <w:link w:val="IntenseQuoteChar"/>
    <w:uiPriority w:val="30"/>
    <w:qFormat/>
    <w:rsid w:val="00F421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123"/>
    <w:rPr>
      <w:i/>
      <w:iCs/>
      <w:color w:val="0F4761" w:themeColor="accent1" w:themeShade="BF"/>
    </w:rPr>
  </w:style>
  <w:style w:type="character" w:styleId="IntenseReference">
    <w:name w:val="Intense Reference"/>
    <w:basedOn w:val="DefaultParagraphFont"/>
    <w:uiPriority w:val="32"/>
    <w:qFormat/>
    <w:rsid w:val="00F42123"/>
    <w:rPr>
      <w:b/>
      <w:bCs/>
      <w:smallCaps/>
      <w:color w:val="0F4761" w:themeColor="accent1" w:themeShade="BF"/>
      <w:spacing w:val="5"/>
    </w:rPr>
  </w:style>
  <w:style w:type="paragraph" w:styleId="Footer">
    <w:name w:val="footer"/>
    <w:basedOn w:val="Normal"/>
    <w:link w:val="FooterChar"/>
    <w:uiPriority w:val="99"/>
    <w:unhideWhenUsed/>
    <w:rsid w:val="00FE58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5858"/>
  </w:style>
  <w:style w:type="paragraph" w:styleId="Header">
    <w:name w:val="header"/>
    <w:basedOn w:val="Normal"/>
    <w:link w:val="HeaderChar"/>
    <w:uiPriority w:val="99"/>
    <w:semiHidden/>
    <w:unhideWhenUsed/>
    <w:rsid w:val="009F7E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7E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Pages>
  <Words>734</Words>
  <Characters>4729</Characters>
  <Application>Microsoft Office Word</Application>
  <DocSecurity>0</DocSecurity>
  <Lines>61</Lines>
  <Paragraphs>12</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Ngoma Mavungu</dc:creator>
  <cp:keywords/>
  <dc:description/>
  <cp:lastModifiedBy>Roldan Manuel Enamorado Irias</cp:lastModifiedBy>
  <cp:revision>7</cp:revision>
  <dcterms:created xsi:type="dcterms:W3CDTF">2026-03-30T13:21:00Z</dcterms:created>
  <dcterms:modified xsi:type="dcterms:W3CDTF">2026-04-06T15:35:00Z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1dc75eba,1194df8b,144981db</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2026-03-30T10:45:24Z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17b766f1-b358-4690-8a8f-c6fe5f307df9</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