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1461D" w14:textId="4E255E9F" w:rsidR="00E909C4" w:rsidRDefault="00701896" w:rsidP="003F4187">
      <w:pPr>
        <w:rPr>
          <w:rFonts w:eastAsia="Calibri"/>
        </w:rPr>
      </w:pPr>
      <w:r>
        <w:rPr>
          <w:rFonts w:eastAsia="Calibri"/>
        </w:rPr>
        <w:t>5409</w:t>
      </w:r>
      <w:r w:rsidR="00A703CB">
        <w:rPr>
          <w:rFonts w:eastAsia="Calibri"/>
        </w:rPr>
        <w:t xml:space="preserve"> – </w:t>
      </w:r>
      <w:r>
        <w:rPr>
          <w:rFonts w:eastAsia="Calibri"/>
        </w:rPr>
        <w:t>Engenharia de Software</w:t>
      </w:r>
    </w:p>
    <w:p w14:paraId="32A81DD3" w14:textId="6BD80307" w:rsidR="0079414E" w:rsidRDefault="009B2C4A" w:rsidP="003F4187">
      <w:pPr>
        <w:rPr>
          <w:rFonts w:eastAsia="Calibri"/>
        </w:rPr>
      </w:pPr>
      <w:r>
        <w:rPr>
          <w:rFonts w:eastAsia="Calibri"/>
        </w:rPr>
        <w:t>2024</w:t>
      </w:r>
      <w:r w:rsidR="00701896">
        <w:rPr>
          <w:rFonts w:eastAsia="Calibri"/>
        </w:rPr>
        <w:t>101</w:t>
      </w:r>
      <w:r w:rsidR="005245A8">
        <w:rPr>
          <w:rFonts w:eastAsia="Calibri"/>
        </w:rPr>
        <w:t>4</w:t>
      </w:r>
      <w:r w:rsidR="00A703CB">
        <w:rPr>
          <w:rFonts w:eastAsia="Calibri"/>
        </w:rPr>
        <w:t xml:space="preserve"> – Luis Cardoso</w:t>
      </w:r>
    </w:p>
    <w:p w14:paraId="56AA81A4" w14:textId="189160D8" w:rsidR="008D5EAA" w:rsidRDefault="00701896" w:rsidP="003F4187">
      <w:pPr>
        <w:rPr>
          <w:rFonts w:eastAsia="Calibri"/>
        </w:rPr>
      </w:pPr>
      <w:r w:rsidRPr="00701896">
        <w:rPr>
          <w:rFonts w:eastAsia="Calibri"/>
        </w:rPr>
        <w:t>Atividade</w:t>
      </w:r>
      <w:r w:rsidR="005245A8">
        <w:rPr>
          <w:rFonts w:eastAsia="Calibri"/>
        </w:rPr>
        <w:t>2</w:t>
      </w:r>
      <w:r w:rsidRPr="00701896">
        <w:rPr>
          <w:rFonts w:eastAsia="Calibri"/>
        </w:rPr>
        <w:t xml:space="preserve"> - Analise dos temas dados</w:t>
      </w:r>
    </w:p>
    <w:p w14:paraId="64468123" w14:textId="0433246C" w:rsidR="0079414E" w:rsidRDefault="005245A8" w:rsidP="0079414E">
      <w:pPr>
        <w:rPr>
          <w:rFonts w:eastAsia="Calibri"/>
        </w:rPr>
      </w:pPr>
      <w:r w:rsidRPr="005245A8">
        <w:rPr>
          <w:rFonts w:eastAsia="Calibri"/>
        </w:rPr>
        <w:t xml:space="preserve">Entregue o trabalho num ficheiro com o nome </w:t>
      </w:r>
      <w:r w:rsidRPr="005245A8">
        <w:rPr>
          <w:rFonts w:eastAsia="Calibri"/>
          <w:b/>
          <w:bCs/>
        </w:rPr>
        <w:t>atividade2 e o seu primeiro e ultimo nome</w:t>
      </w:r>
    </w:p>
    <w:p w14:paraId="29E75F08" w14:textId="77777777" w:rsidR="005245A8" w:rsidRDefault="005245A8" w:rsidP="0079414E">
      <w:pPr>
        <w:rPr>
          <w:rFonts w:eastAsia="Calibri"/>
        </w:rPr>
      </w:pPr>
    </w:p>
    <w:p w14:paraId="02D23956" w14:textId="6395FC71" w:rsidR="00276AAD" w:rsidRDefault="00701896" w:rsidP="00276AAD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Faça uma breve analise dos temas dados na sessão</w:t>
      </w:r>
    </w:p>
    <w:p w14:paraId="43893D31" w14:textId="01041810" w:rsidR="00701896" w:rsidRDefault="005245A8" w:rsidP="00276AAD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r w:rsidRPr="005245A8"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  <w:t>Métodos Ágeis</w:t>
      </w:r>
    </w:p>
    <w:p w14:paraId="0142F3C7" w14:textId="77777777" w:rsidR="005245A8" w:rsidRPr="005245A8" w:rsidRDefault="005245A8" w:rsidP="005245A8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r w:rsidRPr="005245A8"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  <w:t>Processo de desenvolvimento</w:t>
      </w:r>
    </w:p>
    <w:p w14:paraId="667DFDF6" w14:textId="008EC97A" w:rsidR="005245A8" w:rsidRPr="005245A8" w:rsidRDefault="005245A8" w:rsidP="005245A8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r w:rsidRPr="005245A8"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  <w:t>Stakeholders</w:t>
      </w:r>
    </w:p>
    <w:p w14:paraId="5F019CDC" w14:textId="0924733C" w:rsidR="005245A8" w:rsidRDefault="005245A8" w:rsidP="005245A8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r w:rsidRPr="005245A8"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  <w:t>Problemática do desenvolvimento de software</w:t>
      </w:r>
    </w:p>
    <w:p w14:paraId="09373F24" w14:textId="77777777" w:rsidR="005245A8" w:rsidRDefault="005245A8" w:rsidP="005245A8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</w:p>
    <w:p w14:paraId="3FAA8C89" w14:textId="77777777" w:rsidR="00824E49" w:rsidRDefault="00824E49" w:rsidP="005245A8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</w:p>
    <w:p w14:paraId="6880CF80" w14:textId="77777777" w:rsidR="00824E49" w:rsidRDefault="00824E49" w:rsidP="00824E49">
      <w:pPr>
        <w:pStyle w:val="NormalWeb"/>
      </w:pPr>
      <w:r>
        <w:rPr>
          <w:rStyle w:val="Forte"/>
        </w:rPr>
        <w:t>Métodos Ágeis</w:t>
      </w:r>
      <w:r>
        <w:br/>
        <w:t xml:space="preserve">Os métodos ágeis transformaram a forma como projetos de software são desenvolvidos, enfatizando a flexibilidade, ciclos curtos de desenvolvimento, e colaboração constante com os clientes. Frameworks como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 xml:space="preserve"> e XP permitem uma adaptação contínua a mudanças de requisitos e </w:t>
      </w:r>
      <w:proofErr w:type="gramStart"/>
      <w:r>
        <w:t>feedback</w:t>
      </w:r>
      <w:proofErr w:type="gramEnd"/>
      <w:r>
        <w:t xml:space="preserve"> frequente. A principal vantagem é a entrega incremental de valor, embora sua </w:t>
      </w:r>
      <w:proofErr w:type="gramStart"/>
      <w:r>
        <w:t>implementação</w:t>
      </w:r>
      <w:proofErr w:type="gramEnd"/>
      <w:r>
        <w:t xml:space="preserve"> possa ser desafiadora em organizações que não têm uma cultura ágil estabelecida.</w:t>
      </w:r>
    </w:p>
    <w:p w14:paraId="30A557D0" w14:textId="77777777" w:rsidR="00824E49" w:rsidRDefault="00824E49" w:rsidP="00824E49">
      <w:pPr>
        <w:pStyle w:val="NormalWeb"/>
      </w:pPr>
      <w:r>
        <w:rPr>
          <w:rStyle w:val="Forte"/>
        </w:rPr>
        <w:t>Processo de Desenvolvimento</w:t>
      </w:r>
      <w:r>
        <w:br/>
        <w:t xml:space="preserve">Os processos de desenvolvimento de software oferecem uma abordagem estruturada para criar sistemas. Modelos tradicionais como </w:t>
      </w:r>
      <w:proofErr w:type="gramStart"/>
      <w:r>
        <w:t xml:space="preserve">o </w:t>
      </w:r>
      <w:r>
        <w:rPr>
          <w:rStyle w:val="Forte"/>
        </w:rPr>
        <w:t>Cascata</w:t>
      </w:r>
      <w:proofErr w:type="gramEnd"/>
      <w:r>
        <w:t xml:space="preserve"> seguem uma sequência rígida de f</w:t>
      </w:r>
      <w:r>
        <w:t>a</w:t>
      </w:r>
      <w:r>
        <w:t xml:space="preserve">ses, enquanto modelos mais adaptáveis, como o </w:t>
      </w:r>
      <w:r>
        <w:rPr>
          <w:rStyle w:val="Forte"/>
        </w:rPr>
        <w:t>Iterativo</w:t>
      </w:r>
      <w:r>
        <w:t xml:space="preserve">, </w:t>
      </w:r>
      <w:r>
        <w:rPr>
          <w:rStyle w:val="Forte"/>
        </w:rPr>
        <w:t>Ágil</w:t>
      </w:r>
      <w:r>
        <w:t xml:space="preserve">, e o </w:t>
      </w:r>
      <w:proofErr w:type="spellStart"/>
      <w:r>
        <w:rPr>
          <w:rStyle w:val="Forte"/>
        </w:rPr>
        <w:t>DevOps</w:t>
      </w:r>
      <w:proofErr w:type="spellEnd"/>
      <w:r>
        <w:t>, permitem iterações contínuas e maior colaboração entre equipes. A escolha do processo certo depe</w:t>
      </w:r>
      <w:r>
        <w:t>n</w:t>
      </w:r>
      <w:r>
        <w:t>de do contexto do projeto, da complexidade dos requisitos e da maturidade da organização.</w:t>
      </w:r>
    </w:p>
    <w:p w14:paraId="52269922" w14:textId="77777777" w:rsidR="00824E49" w:rsidRDefault="00824E49" w:rsidP="00824E49">
      <w:pPr>
        <w:pStyle w:val="NormalWeb"/>
      </w:pPr>
      <w:proofErr w:type="spellStart"/>
      <w:r>
        <w:rPr>
          <w:rStyle w:val="Forte"/>
        </w:rPr>
        <w:t>Stakeholders</w:t>
      </w:r>
      <w:proofErr w:type="spellEnd"/>
      <w:r>
        <w:br/>
        <w:t xml:space="preserve">Os </w:t>
      </w:r>
      <w:proofErr w:type="spellStart"/>
      <w:r>
        <w:t>stakeholders</w:t>
      </w:r>
      <w:proofErr w:type="spellEnd"/>
      <w:r>
        <w:t xml:space="preserve"> desempenham um papel crucial em qualquer projeto de software, pois suas expectativas e necessidades guiam o desenvolvimento. Desde clientes e usuários finais até desenvolvedores e reguladores, todos têm interesses distintos. O sucesso do projeto depe</w:t>
      </w:r>
      <w:r>
        <w:t>n</w:t>
      </w:r>
      <w:r>
        <w:t xml:space="preserve">de do gerenciamento eficaz desses </w:t>
      </w:r>
      <w:proofErr w:type="spellStart"/>
      <w:r>
        <w:t>stakeholders</w:t>
      </w:r>
      <w:proofErr w:type="spellEnd"/>
      <w:r>
        <w:t>, garantindo comunicação clara, engajame</w:t>
      </w:r>
      <w:r>
        <w:t>n</w:t>
      </w:r>
      <w:r>
        <w:t>to contínuo e alinhamento com os objetivos do projeto.</w:t>
      </w:r>
    </w:p>
    <w:p w14:paraId="2DCD8DA3" w14:textId="77777777" w:rsidR="00824E49" w:rsidRDefault="00824E49" w:rsidP="00824E49">
      <w:pPr>
        <w:pStyle w:val="NormalWeb"/>
      </w:pPr>
      <w:r>
        <w:rPr>
          <w:rStyle w:val="Forte"/>
        </w:rPr>
        <w:t>Problemática do Desenvolvimento de Software</w:t>
      </w:r>
      <w:r>
        <w:br/>
        <w:t>O desenvolvimento de software enfrenta diversos desafios que podem comprometer a qu</w:t>
      </w:r>
      <w:r>
        <w:t>a</w:t>
      </w:r>
      <w:r>
        <w:t>lidade e o sucesso dos projetos. Requisitos mal definidos, comunicação falha, gestão de projetos deficiente, e falta de testes adequados são problemas comuns. A falta de habilid</w:t>
      </w:r>
      <w:r>
        <w:t>a</w:t>
      </w:r>
      <w:r>
        <w:t xml:space="preserve">des e ferramentas </w:t>
      </w:r>
      <w:proofErr w:type="gramStart"/>
      <w:r>
        <w:t>inadequadas também afeta</w:t>
      </w:r>
      <w:proofErr w:type="gramEnd"/>
      <w:r>
        <w:t xml:space="preserve"> a produtividade. Superar esses desafios requer planejamento cuidadoso, boas práticas de gestão, e a adoção de tecnologias e processos adequados para mitigar riscos.</w:t>
      </w:r>
    </w:p>
    <w:p w14:paraId="41BF695A" w14:textId="77777777" w:rsidR="00824E49" w:rsidRDefault="00824E49" w:rsidP="00824E49">
      <w:pPr>
        <w:pStyle w:val="NormalWeb"/>
      </w:pPr>
      <w:r>
        <w:lastRenderedPageBreak/>
        <w:t>Esses quatro temas abordam os pilares centrais para o sucesso no desenvolvimento de so</w:t>
      </w:r>
      <w:r>
        <w:t>f</w:t>
      </w:r>
      <w:r>
        <w:t xml:space="preserve">tware: metodologias flexíveis, processos claros, </w:t>
      </w:r>
      <w:proofErr w:type="spellStart"/>
      <w:r>
        <w:t>stakeholders</w:t>
      </w:r>
      <w:proofErr w:type="spellEnd"/>
      <w:r>
        <w:t xml:space="preserve"> engajados, e a capacidade de lidar com desafios técnicos e organizacionais.</w:t>
      </w:r>
    </w:p>
    <w:p w14:paraId="0CDE2A81" w14:textId="77777777" w:rsidR="00824E49" w:rsidRPr="00824E49" w:rsidRDefault="00824E49" w:rsidP="005245A8">
      <w:pPr>
        <w:rPr>
          <w:rFonts w:asciiTheme="majorHAnsi" w:eastAsiaTheme="majorEastAsia" w:hAnsiTheme="majorHAnsi" w:cstheme="majorBidi"/>
          <w:color w:val="1F3763" w:themeColor="accent1" w:themeShade="7F"/>
          <w:lang w:val="pt-BR" w:eastAsia="en-US"/>
        </w:rPr>
      </w:pPr>
      <w:bookmarkStart w:id="0" w:name="_GoBack"/>
      <w:bookmarkEnd w:id="0"/>
    </w:p>
    <w:sectPr w:rsidR="00824E49" w:rsidRPr="00824E49">
      <w:headerReference w:type="default" r:id="rId11"/>
      <w:footerReference w:type="default" r:id="rId12"/>
      <w:pgSz w:w="11906" w:h="16838"/>
      <w:pgMar w:top="729" w:right="1393" w:bottom="900" w:left="1701" w:header="708" w:footer="5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5803D" w14:textId="77777777" w:rsidR="002A3148" w:rsidRDefault="002A3148">
      <w:r>
        <w:separator/>
      </w:r>
    </w:p>
  </w:endnote>
  <w:endnote w:type="continuationSeparator" w:id="0">
    <w:p w14:paraId="09DCBC0E" w14:textId="77777777" w:rsidR="002A3148" w:rsidRDefault="002A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3CD4D" w14:textId="77777777" w:rsidR="00CE7606" w:rsidRDefault="00CE7606">
    <w:pPr>
      <w:pStyle w:val="Rodap"/>
    </w:pPr>
  </w:p>
  <w:p w14:paraId="44599FEC" w14:textId="77777777" w:rsidR="00CE7606" w:rsidRDefault="00CE7606">
    <w:pPr>
      <w:pStyle w:val="Rodap"/>
    </w:pPr>
  </w:p>
  <w:tbl>
    <w:tblPr>
      <w:tblStyle w:val="Tabelacomgrade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2"/>
      <w:gridCol w:w="5092"/>
    </w:tblGrid>
    <w:tr w:rsidR="00754D31" w14:paraId="58598B67" w14:textId="77777777" w:rsidTr="00754D31">
      <w:tc>
        <w:tcPr>
          <w:tcW w:w="4832" w:type="dxa"/>
          <w:vAlign w:val="bottom"/>
        </w:tcPr>
        <w:p w14:paraId="7AC3D83C" w14:textId="23E64376" w:rsidR="008240F9" w:rsidRDefault="00754D31" w:rsidP="00754D31">
          <w:pPr>
            <w:pStyle w:val="Rodap"/>
          </w:pPr>
          <w:r>
            <w:rPr>
              <w:noProof/>
              <w:lang w:val="pt-BR" w:eastAsia="pt-BR"/>
            </w:rPr>
            <w:drawing>
              <wp:inline distT="0" distB="0" distL="0" distR="0" wp14:anchorId="53B6D8A9" wp14:editId="0E246187">
                <wp:extent cx="1923940" cy="338823"/>
                <wp:effectExtent l="0" t="0" r="635" b="444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785" cy="359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</w:tcPr>
        <w:p w14:paraId="464B7879" w14:textId="0D867341" w:rsidR="008240F9" w:rsidRDefault="003B7ABF">
          <w:pPr>
            <w:pStyle w:val="Rodap"/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017058C5" wp14:editId="4E0A25E1">
                <wp:extent cx="2827673" cy="470850"/>
                <wp:effectExtent l="0" t="0" r="0" b="571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544" cy="47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58EF56" w14:textId="77777777" w:rsidR="00CE7606" w:rsidRDefault="00CE760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C54DB" w14:textId="77777777" w:rsidR="002A3148" w:rsidRDefault="002A3148">
      <w:r>
        <w:rPr>
          <w:color w:val="000000"/>
        </w:rPr>
        <w:separator/>
      </w:r>
    </w:p>
  </w:footnote>
  <w:footnote w:type="continuationSeparator" w:id="0">
    <w:p w14:paraId="349B2777" w14:textId="77777777" w:rsidR="002A3148" w:rsidRDefault="002A3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B912C" w14:textId="77777777" w:rsidR="00CE7606" w:rsidRDefault="00A9681E">
    <w:pPr>
      <w:pStyle w:val="Cabealho"/>
    </w:pPr>
    <w:r>
      <w:rPr>
        <w:noProof/>
        <w:lang w:val="pt-BR" w:eastAsia="pt-BR"/>
      </w:rPr>
      <w:drawing>
        <wp:inline distT="0" distB="0" distL="0" distR="0" wp14:anchorId="091EFA0F" wp14:editId="046BD45D">
          <wp:extent cx="3403597" cy="425452"/>
          <wp:effectExtent l="0" t="0" r="6353" b="0"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3597" cy="4254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AAADB12" w14:textId="77777777" w:rsidR="00961D43" w:rsidRPr="004A46F6" w:rsidRDefault="00961D43" w:rsidP="004A46F6">
    <w:pPr>
      <w:spacing w:before="131"/>
      <w:rPr>
        <w:rFonts w:ascii="Trebuchet MS" w:hAnsi="Trebuchet MS"/>
      </w:rPr>
    </w:pPr>
    <w:r w:rsidRPr="004A46F6">
      <w:rPr>
        <w:rFonts w:ascii="Trebuchet MS" w:hAnsi="Trebuchet MS"/>
        <w:w w:val="85"/>
      </w:rPr>
      <w:t>Delegação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Regional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do</w:t>
    </w:r>
    <w:r w:rsidRPr="004A46F6">
      <w:rPr>
        <w:rFonts w:ascii="Trebuchet MS" w:hAnsi="Trebuchet MS"/>
        <w:spacing w:val="-21"/>
        <w:w w:val="85"/>
      </w:rPr>
      <w:t xml:space="preserve"> </w:t>
    </w:r>
    <w:r w:rsidRPr="004A46F6">
      <w:rPr>
        <w:rFonts w:ascii="Trebuchet MS" w:hAnsi="Trebuchet MS"/>
        <w:w w:val="85"/>
      </w:rPr>
      <w:t>Centro</w:t>
    </w:r>
  </w:p>
  <w:p w14:paraId="2FC4C448" w14:textId="284A6B3A" w:rsidR="00961D43" w:rsidRPr="004A46F6" w:rsidRDefault="00961D43" w:rsidP="004A46F6">
    <w:pPr>
      <w:spacing w:before="141"/>
      <w:rPr>
        <w:rFonts w:ascii="Trebuchet MS" w:hAnsi="Trebuchet MS"/>
      </w:rPr>
    </w:pPr>
    <w:r w:rsidRPr="004A46F6">
      <w:rPr>
        <w:rFonts w:ascii="Trebuchet MS" w:hAnsi="Trebuchet MS"/>
        <w:w w:val="85"/>
      </w:rPr>
      <w:t>Centro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Emprego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Formação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Profissional</w:t>
    </w:r>
    <w:r w:rsidRPr="004A46F6">
      <w:rPr>
        <w:rFonts w:ascii="Trebuchet MS" w:hAnsi="Trebuchet MS"/>
        <w:spacing w:val="-17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9"/>
        <w:w w:val="85"/>
      </w:rPr>
      <w:t xml:space="preserve"> </w:t>
    </w:r>
    <w:r w:rsidR="00C77928">
      <w:rPr>
        <w:rFonts w:ascii="Trebuchet MS" w:hAnsi="Trebuchet MS"/>
        <w:w w:val="85"/>
      </w:rPr>
      <w:t>Arganil</w:t>
    </w:r>
  </w:p>
  <w:p w14:paraId="602D30CE" w14:textId="77777777" w:rsidR="00CE7606" w:rsidRDefault="00CE7606">
    <w:pPr>
      <w:pStyle w:val="Cabealho"/>
      <w:rPr>
        <w:rFonts w:ascii="ConduitITC TT" w:hAnsi="ConduitITC TT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EA0"/>
    <w:multiLevelType w:val="multilevel"/>
    <w:tmpl w:val="707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D065F"/>
    <w:multiLevelType w:val="multilevel"/>
    <w:tmpl w:val="154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A69ED"/>
    <w:multiLevelType w:val="multilevel"/>
    <w:tmpl w:val="F43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D02AD"/>
    <w:multiLevelType w:val="multilevel"/>
    <w:tmpl w:val="87D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DD513B"/>
    <w:multiLevelType w:val="multilevel"/>
    <w:tmpl w:val="F12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2F17F4"/>
    <w:multiLevelType w:val="multilevel"/>
    <w:tmpl w:val="6422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D19FB"/>
    <w:multiLevelType w:val="multilevel"/>
    <w:tmpl w:val="E876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C4"/>
    <w:rsid w:val="000333F2"/>
    <w:rsid w:val="00061314"/>
    <w:rsid w:val="0009502D"/>
    <w:rsid w:val="000952C1"/>
    <w:rsid w:val="000A686C"/>
    <w:rsid w:val="000E1DCD"/>
    <w:rsid w:val="000E6EF2"/>
    <w:rsid w:val="00143A45"/>
    <w:rsid w:val="0016592A"/>
    <w:rsid w:val="00276AAD"/>
    <w:rsid w:val="002942CE"/>
    <w:rsid w:val="002A3148"/>
    <w:rsid w:val="002D2F84"/>
    <w:rsid w:val="002D3B75"/>
    <w:rsid w:val="002E51D3"/>
    <w:rsid w:val="002F68F6"/>
    <w:rsid w:val="003215DE"/>
    <w:rsid w:val="00334889"/>
    <w:rsid w:val="003906B5"/>
    <w:rsid w:val="003B7ABF"/>
    <w:rsid w:val="003C1F7A"/>
    <w:rsid w:val="003D0ED4"/>
    <w:rsid w:val="003F4187"/>
    <w:rsid w:val="004142CB"/>
    <w:rsid w:val="00415FA5"/>
    <w:rsid w:val="004246FE"/>
    <w:rsid w:val="00457F71"/>
    <w:rsid w:val="004814E6"/>
    <w:rsid w:val="00490AB3"/>
    <w:rsid w:val="004A46F6"/>
    <w:rsid w:val="004B499C"/>
    <w:rsid w:val="005245A8"/>
    <w:rsid w:val="00562D92"/>
    <w:rsid w:val="005943A0"/>
    <w:rsid w:val="005A2851"/>
    <w:rsid w:val="005B3D84"/>
    <w:rsid w:val="006006C5"/>
    <w:rsid w:val="0064061F"/>
    <w:rsid w:val="006A1D78"/>
    <w:rsid w:val="006C23A6"/>
    <w:rsid w:val="006E27C8"/>
    <w:rsid w:val="00701896"/>
    <w:rsid w:val="00754D31"/>
    <w:rsid w:val="00756F55"/>
    <w:rsid w:val="0079414E"/>
    <w:rsid w:val="007A2F68"/>
    <w:rsid w:val="007A4C5D"/>
    <w:rsid w:val="007C1571"/>
    <w:rsid w:val="007C346E"/>
    <w:rsid w:val="008240F9"/>
    <w:rsid w:val="00824E49"/>
    <w:rsid w:val="00851AFE"/>
    <w:rsid w:val="00897D0A"/>
    <w:rsid w:val="008C0304"/>
    <w:rsid w:val="008D5EAA"/>
    <w:rsid w:val="00961D43"/>
    <w:rsid w:val="00996BDE"/>
    <w:rsid w:val="009B2C4A"/>
    <w:rsid w:val="009B5D10"/>
    <w:rsid w:val="009C05E6"/>
    <w:rsid w:val="00A32A54"/>
    <w:rsid w:val="00A57051"/>
    <w:rsid w:val="00A703CB"/>
    <w:rsid w:val="00A715FE"/>
    <w:rsid w:val="00A9681E"/>
    <w:rsid w:val="00B038D4"/>
    <w:rsid w:val="00B223DF"/>
    <w:rsid w:val="00B93AF7"/>
    <w:rsid w:val="00BB35CF"/>
    <w:rsid w:val="00BB426E"/>
    <w:rsid w:val="00BF57F2"/>
    <w:rsid w:val="00C34DB5"/>
    <w:rsid w:val="00C76748"/>
    <w:rsid w:val="00C77928"/>
    <w:rsid w:val="00C93FB3"/>
    <w:rsid w:val="00C965C7"/>
    <w:rsid w:val="00CA054A"/>
    <w:rsid w:val="00CD6C3A"/>
    <w:rsid w:val="00CE7606"/>
    <w:rsid w:val="00D257FA"/>
    <w:rsid w:val="00D53F0D"/>
    <w:rsid w:val="00D73772"/>
    <w:rsid w:val="00E15CC0"/>
    <w:rsid w:val="00E7027C"/>
    <w:rsid w:val="00E909C4"/>
    <w:rsid w:val="00E9768F"/>
    <w:rsid w:val="00EB546D"/>
    <w:rsid w:val="00F10160"/>
    <w:rsid w:val="00F679A9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159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1896"/>
    <w:pPr>
      <w:keepNext/>
      <w:keepLines/>
      <w:suppressAutoHyphens w:val="0"/>
      <w:autoSpaceDN/>
      <w:spacing w:before="40" w:line="276" w:lineRule="auto"/>
      <w:jc w:val="both"/>
      <w:textAlignment w:val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abealho1Carcter">
    <w:name w:val="Cabeçalho 1 Carácter"/>
    <w:basedOn w:val="Fontepargpadr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Fontepargpadro"/>
    <w:rPr>
      <w:sz w:val="24"/>
      <w:szCs w:val="24"/>
    </w:rPr>
  </w:style>
  <w:style w:type="table" w:styleId="Tabelacomgrade">
    <w:name w:val="Table Grid"/>
    <w:basedOn w:val="Tabelanormal"/>
    <w:uiPriority w:val="39"/>
    <w:rsid w:val="00824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018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24E49"/>
    <w:pPr>
      <w:suppressAutoHyphens w:val="0"/>
      <w:autoSpaceDN/>
      <w:spacing w:before="100" w:beforeAutospacing="1" w:after="100" w:afterAutospacing="1"/>
      <w:textAlignment w:val="auto"/>
    </w:pPr>
    <w:rPr>
      <w:lang w:val="pt-BR" w:eastAsia="pt-BR"/>
    </w:rPr>
  </w:style>
  <w:style w:type="character" w:styleId="Forte">
    <w:name w:val="Strong"/>
    <w:basedOn w:val="Fontepargpadro"/>
    <w:uiPriority w:val="22"/>
    <w:qFormat/>
    <w:rsid w:val="00824E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1896"/>
    <w:pPr>
      <w:keepNext/>
      <w:keepLines/>
      <w:suppressAutoHyphens w:val="0"/>
      <w:autoSpaceDN/>
      <w:spacing w:before="40" w:line="276" w:lineRule="auto"/>
      <w:jc w:val="both"/>
      <w:textAlignment w:val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abealho1Carcter">
    <w:name w:val="Cabeçalho 1 Carácter"/>
    <w:basedOn w:val="Fontepargpadr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Fontepargpadro"/>
    <w:rPr>
      <w:sz w:val="24"/>
      <w:szCs w:val="24"/>
    </w:rPr>
  </w:style>
  <w:style w:type="table" w:styleId="Tabelacomgrade">
    <w:name w:val="Table Grid"/>
    <w:basedOn w:val="Tabelanormal"/>
    <w:uiPriority w:val="39"/>
    <w:rsid w:val="00824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018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24E49"/>
    <w:pPr>
      <w:suppressAutoHyphens w:val="0"/>
      <w:autoSpaceDN/>
      <w:spacing w:before="100" w:beforeAutospacing="1" w:after="100" w:afterAutospacing="1"/>
      <w:textAlignment w:val="auto"/>
    </w:pPr>
    <w:rPr>
      <w:lang w:val="pt-BR" w:eastAsia="pt-BR"/>
    </w:rPr>
  </w:style>
  <w:style w:type="character" w:styleId="Forte">
    <w:name w:val="Strong"/>
    <w:basedOn w:val="Fontepargpadro"/>
    <w:uiPriority w:val="22"/>
    <w:qFormat/>
    <w:rsid w:val="00824E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cf42f9-c0eb-4640-8b38-5dd9a639aa36">
      <Terms xmlns="http://schemas.microsoft.com/office/infopath/2007/PartnerControls"/>
    </lcf76f155ced4ddcb4097134ff3c332f>
    <TaxCatchAll xmlns="d53499bf-e50e-479d-8a04-78f8430f171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71B268FFBE5469D7046BBB60E6A99" ma:contentTypeVersion="9" ma:contentTypeDescription="Criar um novo documento." ma:contentTypeScope="" ma:versionID="67fad864ff01b79fe5f049ba9d07ec86">
  <xsd:schema xmlns:xsd="http://www.w3.org/2001/XMLSchema" xmlns:xs="http://www.w3.org/2001/XMLSchema" xmlns:p="http://schemas.microsoft.com/office/2006/metadata/properties" xmlns:ns2="1ecf42f9-c0eb-4640-8b38-5dd9a639aa36" xmlns:ns3="d53499bf-e50e-479d-8a04-78f8430f1713" targetNamespace="http://schemas.microsoft.com/office/2006/metadata/properties" ma:root="true" ma:fieldsID="f640aeb487880204d7555f2ece8b6830" ns2:_="" ns3:_="">
    <xsd:import namespace="1ecf42f9-c0eb-4640-8b38-5dd9a639aa36"/>
    <xsd:import namespace="d53499bf-e50e-479d-8a04-78f8430f1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42f9-c0eb-4640-8b38-5dd9a639a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99bf-e50e-479d-8a04-78f8430f171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5391b19-5de0-4e1d-bb82-6f2ae966f338}" ma:internalName="TaxCatchAll" ma:showField="CatchAllData" ma:web="d53499bf-e50e-479d-8a04-78f8430f1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32E739-0255-472D-9058-F21E37BAE618}">
  <ds:schemaRefs>
    <ds:schemaRef ds:uri="http://schemas.microsoft.com/office/2006/metadata/properties"/>
    <ds:schemaRef ds:uri="http://schemas.microsoft.com/office/infopath/2007/PartnerControls"/>
    <ds:schemaRef ds:uri="1ecf42f9-c0eb-4640-8b38-5dd9a639aa36"/>
    <ds:schemaRef ds:uri="d53499bf-e50e-479d-8a04-78f8430f1713"/>
  </ds:schemaRefs>
</ds:datastoreItem>
</file>

<file path=customXml/itemProps2.xml><?xml version="1.0" encoding="utf-8"?>
<ds:datastoreItem xmlns:ds="http://schemas.openxmlformats.org/officeDocument/2006/customXml" ds:itemID="{5669C286-C30D-456E-91A7-133B609C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42f9-c0eb-4640-8b38-5dd9a639aa36"/>
    <ds:schemaRef ds:uri="d53499bf-e50e-479d-8a04-78f8430f1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92057E-3662-4792-A769-4E8C04A005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Anexos Processo Técnico-Pedagógico</vt:lpstr>
    </vt:vector>
  </TitlesOfParts>
  <Company>IEFP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Anexos Processo Técnico-Pedagógico</dc:title>
  <dc:subject>Cursos de Aprendizagem - Regulamento Específico 2012</dc:subject>
  <dc:creator>FP-OF</dc:creator>
  <cp:lastModifiedBy>Renan Aba</cp:lastModifiedBy>
  <cp:revision>2</cp:revision>
  <cp:lastPrinted>2019-01-17T14:45:00Z</cp:lastPrinted>
  <dcterms:created xsi:type="dcterms:W3CDTF">2024-10-14T11:10:00Z</dcterms:created>
  <dcterms:modified xsi:type="dcterms:W3CDTF">2024-10-14T11:10:00Z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0x0101006DD71B268FFBE5469D7046BBB60E6A99</vt:lpwstr>
  </property>
</Properties>
</file>