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after="200"/>
        <w:jc w:val="center"/>
      </w:pPr>
      <w:r>
        <w:rPr>
          <w:rFonts w:ascii="Calibri" w:hAnsi="Calibri"/>
          <w:b/>
          <w:color w:val="1A1A1A"/>
          <w:sz w:val="56"/>
        </w:rPr>
        <w:t>Previsao do Fechamento do IBOVESPA</w:t>
      </w:r>
    </w:p>
    <w:p>
      <w:pPr>
        <w:spacing w:after="100"/>
        <w:jc w:val="center"/>
      </w:pPr>
      <w:r>
        <w:rPr>
          <w:rFonts w:ascii="Calibri" w:hAnsi="Calibri"/>
          <w:b w:val="0"/>
          <w:color w:val="1A1A1A"/>
          <w:sz w:val="28"/>
        </w:rPr>
        <w:t>Tech Challenge - Fase 2 - POSTECH Data Analytics</w:t>
      </w:r>
    </w:p>
    <w:p>
      <w:pPr>
        <w:spacing w:after="3000"/>
        <w:jc w:val="center"/>
      </w:pPr>
      <w:r>
        <w:rPr>
          <w:rFonts w:ascii="Calibri" w:hAnsi="Calibri"/>
          <w:b w:val="0"/>
          <w:color w:val="1A1A1A"/>
          <w:sz w:val="24"/>
        </w:rPr>
        <w:t>Estrategia de dados, storytelling e modelo preditivo de series temporais</w:t>
      </w:r>
    </w:p>
    <w:p>
      <w:pPr>
        <w:spacing w:after="200" w:line="300" w:lineRule="auto"/>
        <w:jc w:val="both"/>
      </w:pPr>
      <w:r>
        <w:rPr>
          <w:rFonts w:ascii="Calibri" w:hAnsi="Calibri"/>
          <w:b w:val="0"/>
          <w:color w:val="1A1A1A"/>
          <w:sz w:val="22"/>
        </w:rPr>
        <w:t>Este documento descreve, passo a passo, a estrategia de dados construida para prever o fechamento diario do indice IBOVESPA, incluindo a explicacao de cada etapa do codigo desenvolvido, as decisoes tecnicas tomadas e os resultados obtidos. O codigo completo e executavel esta disponivel no notebook Jupyter que acompanha esta entrega.</w:t>
      </w:r>
    </w:p>
    <w:p>
      <w:pPr>
        <w:spacing w:after="200" w:line="300" w:lineRule="auto"/>
        <w:jc w:val="right"/>
      </w:pPr>
      <w:r>
        <w:rPr>
          <w:rFonts w:ascii="Calibri" w:hAnsi="Calibri"/>
          <w:b/>
          <w:color w:val="1A1A1A"/>
          <w:sz w:val="22"/>
        </w:rPr>
        <w:t>Nome: Renan Cotrin Lapastina</w:t>
      </w:r>
    </w:p>
    <w:p>
      <w:pPr>
        <w:spacing w:after="200" w:line="300" w:lineRule="auto"/>
        <w:jc w:val="right"/>
      </w:pPr>
      <w:r>
        <w:rPr>
          <w:rFonts w:ascii="Calibri" w:hAnsi="Calibri"/>
          <w:b/>
          <w:color w:val="1A1A1A"/>
          <w:sz w:val="22"/>
        </w:rPr>
        <w:t>RM: 366292</w:t>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60"/>
            </w:pPr>
            <w:r>
              <w:rPr>
                <w:rFonts w:ascii="Calibri" w:hAnsi="Calibri"/>
                <w:b/>
                <w:color w:val="1F7A4D"/>
                <w:sz w:val="22"/>
              </w:rPr>
              <w:t>Resumo executivo</w:t>
            </w:r>
          </w:p>
          <w:p>
            <w:pPr>
              <w:spacing w:after="0"/>
            </w:pPr>
            <w:r>
              <w:rPr>
                <w:rFonts w:ascii="Calibri" w:hAnsi="Calibri"/>
                <w:b w:val="0"/>
                <w:color w:val="1A1A1A"/>
                <w:sz w:val="20"/>
              </w:rPr>
              <w:t>A entrega trata o problema como serie temporal e regressao. A assertividade principal e calculada como 100 * (1 - WMAPE), conforme orientacao recebida para uso de metricas de distancia.</w:t>
            </w:r>
          </w:p>
        </w:tc>
      </w:tr>
    </w:tbl>
    <w:p/>
    <w:p>
      <w:r>
        <w:br w:type="page"/>
      </w:r>
    </w:p>
    <w:p>
      <w:pPr>
        <w:pStyle w:val="Heading1"/>
        <w:spacing w:before="400" w:after="200"/>
      </w:pPr>
      <w:r>
        <w:rPr>
          <w:rFonts w:ascii="Calibri" w:hAnsi="Calibri"/>
          <w:b/>
          <w:color w:val="2E74B5"/>
          <w:sz w:val="32"/>
        </w:rPr>
        <w:t>Sumario</w:t>
      </w:r>
    </w:p>
    <w:p>
      <w:pPr>
        <w:tabs>
          <w:tab w:pos="8928" w:val="right" w:leader="dot"/>
        </w:tabs>
        <w:spacing w:after="80"/>
        <w:ind w:left="0"/>
      </w:pPr>
      <w:r>
        <w:rPr>
          <w:rFonts w:ascii="Calibri" w:hAnsi="Calibri"/>
          <w:b/>
          <w:color w:val="1A1A1A"/>
          <w:sz w:val="20"/>
        </w:rPr>
        <w:t>1. Escopo analitico e criterio de sucesso</w:t>
      </w:r>
      <w:r>
        <w:rPr>
          <w:rFonts w:ascii="Calibri" w:hAnsi="Calibri"/>
          <w:b/>
          <w:color w:val="1A1A1A"/>
          <w:sz w:val="20"/>
        </w:rPr>
        <w:tab/>
        <w:t>3</w:t>
      </w:r>
    </w:p>
    <w:p>
      <w:pPr>
        <w:tabs>
          <w:tab w:pos="8928" w:val="right" w:leader="dot"/>
        </w:tabs>
        <w:spacing w:after="80"/>
        <w:ind w:left="360"/>
      </w:pPr>
      <w:r>
        <w:rPr>
          <w:rFonts w:ascii="Calibri" w:hAnsi="Calibri"/>
          <w:b w:val="0"/>
          <w:color w:val="1A1A1A"/>
          <w:sz w:val="20"/>
        </w:rPr>
        <w:t>1.1 Aderencia ao enunciado</w:t>
      </w:r>
      <w:r>
        <w:rPr>
          <w:rFonts w:ascii="Calibri" w:hAnsi="Calibri"/>
          <w:b w:val="0"/>
          <w:color w:val="1A1A1A"/>
          <w:sz w:val="20"/>
        </w:rPr>
        <w:tab/>
        <w:t>3</w:t>
      </w:r>
    </w:p>
    <w:p>
      <w:pPr>
        <w:tabs>
          <w:tab w:pos="8928" w:val="right" w:leader="dot"/>
        </w:tabs>
        <w:spacing w:after="80"/>
        <w:ind w:left="360"/>
      </w:pPr>
      <w:r>
        <w:rPr>
          <w:rFonts w:ascii="Calibri" w:hAnsi="Calibri"/>
          <w:b w:val="0"/>
          <w:color w:val="1A1A1A"/>
          <w:sz w:val="20"/>
        </w:rPr>
        <w:t>1.2 Como a entrega esta organizada</w:t>
      </w:r>
      <w:r>
        <w:rPr>
          <w:rFonts w:ascii="Calibri" w:hAnsi="Calibri"/>
          <w:b w:val="0"/>
          <w:color w:val="1A1A1A"/>
          <w:sz w:val="20"/>
        </w:rPr>
        <w:tab/>
        <w:t>4</w:t>
      </w:r>
    </w:p>
    <w:p>
      <w:pPr>
        <w:tabs>
          <w:tab w:pos="8928" w:val="right" w:leader="dot"/>
        </w:tabs>
        <w:spacing w:after="80"/>
        <w:ind w:left="0"/>
      </w:pPr>
      <w:r>
        <w:rPr>
          <w:rFonts w:ascii="Calibri" w:hAnsi="Calibri"/>
          <w:b/>
          <w:color w:val="1A1A1A"/>
          <w:sz w:val="20"/>
        </w:rPr>
        <w:t>2. Preparacao da base historica</w:t>
      </w:r>
      <w:r>
        <w:rPr>
          <w:rFonts w:ascii="Calibri" w:hAnsi="Calibri"/>
          <w:b/>
          <w:color w:val="1A1A1A"/>
          <w:sz w:val="20"/>
        </w:rPr>
        <w:tab/>
        <w:t>5</w:t>
      </w:r>
    </w:p>
    <w:p>
      <w:pPr>
        <w:tabs>
          <w:tab w:pos="8928" w:val="right" w:leader="dot"/>
        </w:tabs>
        <w:spacing w:after="80"/>
        <w:ind w:left="0"/>
      </w:pPr>
      <w:r>
        <w:rPr>
          <w:rFonts w:ascii="Calibri" w:hAnsi="Calibri"/>
          <w:b/>
          <w:color w:val="1A1A1A"/>
          <w:sz w:val="20"/>
        </w:rPr>
        <w:t>3. Leitura historica do IBOVESPA</w:t>
      </w:r>
      <w:r>
        <w:rPr>
          <w:rFonts w:ascii="Calibri" w:hAnsi="Calibri"/>
          <w:b/>
          <w:color w:val="1A1A1A"/>
          <w:sz w:val="20"/>
        </w:rPr>
        <w:tab/>
        <w:t>6</w:t>
      </w:r>
    </w:p>
    <w:p>
      <w:pPr>
        <w:tabs>
          <w:tab w:pos="8928" w:val="right" w:leader="dot"/>
        </w:tabs>
        <w:spacing w:after="80"/>
        <w:ind w:left="360"/>
      </w:pPr>
      <w:r>
        <w:rPr>
          <w:rFonts w:ascii="Calibri" w:hAnsi="Calibri"/>
          <w:b w:val="0"/>
          <w:color w:val="1A1A1A"/>
          <w:sz w:val="20"/>
        </w:rPr>
        <w:t>3.1 Ciclos economicos observados</w:t>
      </w:r>
      <w:r>
        <w:rPr>
          <w:rFonts w:ascii="Calibri" w:hAnsi="Calibri"/>
          <w:b w:val="0"/>
          <w:color w:val="1A1A1A"/>
          <w:sz w:val="20"/>
        </w:rPr>
        <w:tab/>
        <w:t>6</w:t>
      </w:r>
    </w:p>
    <w:p>
      <w:pPr>
        <w:tabs>
          <w:tab w:pos="8928" w:val="right" w:leader="dot"/>
        </w:tabs>
        <w:spacing w:after="80"/>
        <w:ind w:left="360"/>
      </w:pPr>
      <w:r>
        <w:rPr>
          <w:rFonts w:ascii="Calibri" w:hAnsi="Calibri"/>
          <w:b w:val="0"/>
          <w:color w:val="1A1A1A"/>
          <w:sz w:val="20"/>
        </w:rPr>
        <w:t>3.2 Retornos, choques e faixa de tolerancia</w:t>
      </w:r>
      <w:r>
        <w:rPr>
          <w:rFonts w:ascii="Calibri" w:hAnsi="Calibri"/>
          <w:b w:val="0"/>
          <w:color w:val="1A1A1A"/>
          <w:sz w:val="20"/>
        </w:rPr>
        <w:tab/>
        <w:t>7</w:t>
      </w:r>
    </w:p>
    <w:p>
      <w:pPr>
        <w:tabs>
          <w:tab w:pos="8928" w:val="right" w:leader="dot"/>
        </w:tabs>
        <w:spacing w:after="80"/>
        <w:ind w:left="0"/>
      </w:pPr>
      <w:r>
        <w:rPr>
          <w:rFonts w:ascii="Calibri" w:hAnsi="Calibri"/>
          <w:b/>
          <w:color w:val="1A1A1A"/>
          <w:sz w:val="20"/>
        </w:rPr>
        <w:t>4. Diagnostico estatistico da serie</w:t>
      </w:r>
      <w:r>
        <w:rPr>
          <w:rFonts w:ascii="Calibri" w:hAnsi="Calibri"/>
          <w:b/>
          <w:color w:val="1A1A1A"/>
          <w:sz w:val="20"/>
        </w:rPr>
        <w:tab/>
        <w:t>8</w:t>
      </w:r>
    </w:p>
    <w:p>
      <w:pPr>
        <w:tabs>
          <w:tab w:pos="8928" w:val="right" w:leader="dot"/>
        </w:tabs>
        <w:spacing w:after="80"/>
        <w:ind w:left="360"/>
      </w:pPr>
      <w:r>
        <w:rPr>
          <w:rFonts w:ascii="Calibri" w:hAnsi="Calibri"/>
          <w:b w:val="0"/>
          <w:color w:val="1A1A1A"/>
          <w:sz w:val="20"/>
        </w:rPr>
        <w:t>4.1 Decomposicao da serie</w:t>
      </w:r>
      <w:r>
        <w:rPr>
          <w:rFonts w:ascii="Calibri" w:hAnsi="Calibri"/>
          <w:b w:val="0"/>
          <w:color w:val="1A1A1A"/>
          <w:sz w:val="20"/>
        </w:rPr>
        <w:tab/>
        <w:t>8</w:t>
      </w:r>
    </w:p>
    <w:p>
      <w:pPr>
        <w:tabs>
          <w:tab w:pos="8928" w:val="right" w:leader="dot"/>
        </w:tabs>
        <w:spacing w:after="80"/>
        <w:ind w:left="360"/>
      </w:pPr>
      <w:r>
        <w:rPr>
          <w:rFonts w:ascii="Calibri" w:hAnsi="Calibri"/>
          <w:b w:val="0"/>
          <w:color w:val="1A1A1A"/>
          <w:sz w:val="20"/>
        </w:rPr>
        <w:t>4.2 Estacionariedade pelo teste ADF</w:t>
      </w:r>
      <w:r>
        <w:rPr>
          <w:rFonts w:ascii="Calibri" w:hAnsi="Calibri"/>
          <w:b w:val="0"/>
          <w:color w:val="1A1A1A"/>
          <w:sz w:val="20"/>
        </w:rPr>
        <w:tab/>
        <w:t>9</w:t>
      </w:r>
    </w:p>
    <w:p>
      <w:pPr>
        <w:tabs>
          <w:tab w:pos="8928" w:val="right" w:leader="dot"/>
        </w:tabs>
        <w:spacing w:after="80"/>
        <w:ind w:left="360"/>
      </w:pPr>
      <w:r>
        <w:rPr>
          <w:rFonts w:ascii="Calibri" w:hAnsi="Calibri"/>
          <w:b w:val="0"/>
          <w:color w:val="1A1A1A"/>
          <w:sz w:val="20"/>
        </w:rPr>
        <w:t>4.3 Memoria curta pela ACF e PACF</w:t>
      </w:r>
      <w:r>
        <w:rPr>
          <w:rFonts w:ascii="Calibri" w:hAnsi="Calibri"/>
          <w:b w:val="0"/>
          <w:color w:val="1A1A1A"/>
          <w:sz w:val="20"/>
        </w:rPr>
        <w:tab/>
        <w:t>9</w:t>
      </w:r>
    </w:p>
    <w:p>
      <w:pPr>
        <w:tabs>
          <w:tab w:pos="8928" w:val="right" w:leader="dot"/>
        </w:tabs>
        <w:spacing w:after="80"/>
        <w:ind w:left="0"/>
      </w:pPr>
      <w:r>
        <w:rPr>
          <w:rFonts w:ascii="Calibri" w:hAnsi="Calibri"/>
          <w:b/>
          <w:color w:val="1A1A1A"/>
          <w:sz w:val="20"/>
        </w:rPr>
        <w:t>5. Construcao de alvos e atributos</w:t>
      </w:r>
      <w:r>
        <w:rPr>
          <w:rFonts w:ascii="Calibri" w:hAnsi="Calibri"/>
          <w:b/>
          <w:color w:val="1A1A1A"/>
          <w:sz w:val="20"/>
        </w:rPr>
        <w:tab/>
        <w:t>10</w:t>
      </w:r>
    </w:p>
    <w:p>
      <w:pPr>
        <w:tabs>
          <w:tab w:pos="8928" w:val="right" w:leader="dot"/>
        </w:tabs>
        <w:spacing w:after="80"/>
        <w:ind w:left="0"/>
      </w:pPr>
      <w:r>
        <w:rPr>
          <w:rFonts w:ascii="Calibri" w:hAnsi="Calibri"/>
          <w:b/>
          <w:color w:val="1A1A1A"/>
          <w:sz w:val="20"/>
        </w:rPr>
        <w:t>6. Validacao fora da amostra</w:t>
      </w:r>
      <w:r>
        <w:rPr>
          <w:rFonts w:ascii="Calibri" w:hAnsi="Calibri"/>
          <w:b/>
          <w:color w:val="1A1A1A"/>
          <w:sz w:val="20"/>
        </w:rPr>
        <w:tab/>
        <w:t>11</w:t>
      </w:r>
    </w:p>
    <w:p>
      <w:pPr>
        <w:tabs>
          <w:tab w:pos="8928" w:val="right" w:leader="dot"/>
        </w:tabs>
        <w:spacing w:after="80"/>
        <w:ind w:left="0"/>
      </w:pPr>
      <w:r>
        <w:rPr>
          <w:rFonts w:ascii="Calibri" w:hAnsi="Calibri"/>
          <w:b/>
          <w:color w:val="1A1A1A"/>
          <w:sz w:val="20"/>
        </w:rPr>
        <w:t>7. Experimentos e escolha do modelo</w:t>
      </w:r>
      <w:r>
        <w:rPr>
          <w:rFonts w:ascii="Calibri" w:hAnsi="Calibri"/>
          <w:b/>
          <w:color w:val="1A1A1A"/>
          <w:sz w:val="20"/>
        </w:rPr>
        <w:tab/>
        <w:t>12</w:t>
      </w:r>
    </w:p>
    <w:p>
      <w:pPr>
        <w:tabs>
          <w:tab w:pos="8928" w:val="right" w:leader="dot"/>
        </w:tabs>
        <w:spacing w:after="80"/>
        <w:ind w:left="360"/>
      </w:pPr>
      <w:r>
        <w:rPr>
          <w:rFonts w:ascii="Calibri" w:hAnsi="Calibri"/>
          <w:b w:val="0"/>
          <w:color w:val="1A1A1A"/>
          <w:sz w:val="20"/>
        </w:rPr>
        <w:t>7.4 Resultado comparativo</w:t>
      </w:r>
      <w:r>
        <w:rPr>
          <w:rFonts w:ascii="Calibri" w:hAnsi="Calibri"/>
          <w:b w:val="0"/>
          <w:color w:val="1A1A1A"/>
          <w:sz w:val="20"/>
        </w:rPr>
        <w:tab/>
        <w:t>13</w:t>
      </w:r>
    </w:p>
    <w:p>
      <w:pPr>
        <w:tabs>
          <w:tab w:pos="8928" w:val="right" w:leader="dot"/>
        </w:tabs>
        <w:spacing w:after="80"/>
        <w:ind w:left="360"/>
      </w:pPr>
      <w:r>
        <w:rPr>
          <w:rFonts w:ascii="Calibri" w:hAnsi="Calibri"/>
          <w:b w:val="0"/>
          <w:color w:val="1A1A1A"/>
          <w:sz w:val="20"/>
        </w:rPr>
        <w:t>7.6 Robustez da tolerancia de erro</w:t>
      </w:r>
      <w:r>
        <w:rPr>
          <w:rFonts w:ascii="Calibri" w:hAnsi="Calibri"/>
          <w:b w:val="0"/>
          <w:color w:val="1A1A1A"/>
          <w:sz w:val="20"/>
        </w:rPr>
        <w:tab/>
        <w:t>16</w:t>
      </w:r>
    </w:p>
    <w:p>
      <w:pPr>
        <w:tabs>
          <w:tab w:pos="8928" w:val="right" w:leader="dot"/>
        </w:tabs>
        <w:spacing w:after="80"/>
        <w:ind w:left="0"/>
      </w:pPr>
      <w:r>
        <w:rPr>
          <w:rFonts w:ascii="Calibri" w:hAnsi="Calibri"/>
          <w:b/>
          <w:color w:val="1A1A1A"/>
          <w:sz w:val="20"/>
        </w:rPr>
        <w:t>8. Investigacao complementar de direcao</w:t>
      </w:r>
      <w:r>
        <w:rPr>
          <w:rFonts w:ascii="Calibri" w:hAnsi="Calibri"/>
          <w:b/>
          <w:color w:val="1A1A1A"/>
          <w:sz w:val="20"/>
        </w:rPr>
        <w:tab/>
        <w:t>18</w:t>
      </w:r>
    </w:p>
    <w:p>
      <w:pPr>
        <w:tabs>
          <w:tab w:pos="8928" w:val="right" w:leader="dot"/>
        </w:tabs>
        <w:spacing w:after="80"/>
        <w:ind w:left="0"/>
      </w:pPr>
      <w:r>
        <w:rPr>
          <w:rFonts w:ascii="Calibri" w:hAnsi="Calibri"/>
          <w:b/>
          <w:color w:val="1A1A1A"/>
          <w:sz w:val="20"/>
        </w:rPr>
        <w:t>9. Projecao dos proximos 15 pregoes</w:t>
      </w:r>
      <w:r>
        <w:rPr>
          <w:rFonts w:ascii="Calibri" w:hAnsi="Calibri"/>
          <w:b/>
          <w:color w:val="1A1A1A"/>
          <w:sz w:val="20"/>
        </w:rPr>
        <w:tab/>
        <w:t>19</w:t>
      </w:r>
    </w:p>
    <w:p>
      <w:pPr>
        <w:tabs>
          <w:tab w:pos="8928" w:val="right" w:leader="dot"/>
        </w:tabs>
        <w:spacing w:after="80"/>
        <w:ind w:left="0"/>
      </w:pPr>
      <w:r>
        <w:rPr>
          <w:rFonts w:ascii="Calibri" w:hAnsi="Calibri"/>
          <w:b/>
          <w:color w:val="1A1A1A"/>
          <w:sz w:val="20"/>
        </w:rPr>
        <w:t>10. Fechamento tecnico</w:t>
      </w:r>
      <w:r>
        <w:rPr>
          <w:rFonts w:ascii="Calibri" w:hAnsi="Calibri"/>
          <w:b/>
          <w:color w:val="1A1A1A"/>
          <w:sz w:val="20"/>
        </w:rPr>
        <w:tab/>
        <w:t>21</w:t>
      </w:r>
    </w:p>
    <w:p>
      <w:r>
        <w:br w:type="page"/>
      </w:r>
    </w:p>
    <w:p>
      <w:pPr>
        <w:pStyle w:val="Heading1"/>
        <w:spacing w:before="400" w:after="200"/>
      </w:pPr>
      <w:r>
        <w:rPr>
          <w:rFonts w:ascii="Calibri" w:hAnsi="Calibri"/>
          <w:b/>
          <w:color w:val="2E74B5"/>
          <w:sz w:val="32"/>
        </w:rPr>
        <w:t>1. Escopo analitico e criterio de sucesso</w:t>
      </w:r>
    </w:p>
    <w:p>
      <w:pPr>
        <w:spacing w:after="200" w:line="300" w:lineRule="auto"/>
        <w:jc w:val="both"/>
      </w:pPr>
      <w:r>
        <w:rPr>
          <w:rFonts w:ascii="Calibri" w:hAnsi="Calibri"/>
          <w:b w:val="0"/>
          <w:color w:val="1A1A1A"/>
          <w:sz w:val="22"/>
        </w:rPr>
        <w:t>O desafio foi construir um modelo preditivo de series temporais para o fechamento diario do IBOVESPA, com assertividade minima de 80% e uso como ferramenta academica de apoio a decisao. Antes de escolher modelos, foi necessario definir o que significa acertar uma previsao em uma serie financeira.</w:t>
      </w:r>
    </w:p>
    <w:p>
      <w:pPr>
        <w:spacing w:after="200" w:line="300" w:lineRule="auto"/>
        <w:jc w:val="both"/>
      </w:pPr>
      <w:r>
        <w:rPr>
          <w:rFonts w:ascii="Calibri" w:hAnsi="Calibri"/>
          <w:b w:val="0"/>
          <w:color w:val="1A1A1A"/>
          <w:sz w:val="22"/>
        </w:rPr>
        <w:t>O fechamento de um indice amplo costuma ficar muito proximo do fechamento anterior. Por isso, uma previsao numerica pode apresentar erro percentual baixo mesmo quando o mercado continua dificil de antecipar. A estrategia adotada separa duas perguntas: prever o valor de fechamento, que e a entrega formal por regressao, e investigar a direcao do proximo pregao como analise complementar.</w:t>
      </w:r>
    </w:p>
    <w:p>
      <w:pPr>
        <w:pStyle w:val="ListBullet"/>
        <w:spacing w:after="100" w:line="280" w:lineRule="auto"/>
      </w:pPr>
      <w:r>
        <w:rPr>
          <w:rFonts w:ascii="Calibri" w:hAnsi="Calibri"/>
          <w:b w:val="0"/>
          <w:color w:val="1A1A1A"/>
          <w:sz w:val="22"/>
        </w:rPr>
        <w:t>Regressao: prever o fechamento do proximo pregao e avaliar com WMAPE, MAE, assertividade por 1 - WMAPE e acerto dentro de uma faixa de tolerancia.</w:t>
      </w:r>
    </w:p>
    <w:p>
      <w:pPr>
        <w:pStyle w:val="ListBullet"/>
        <w:spacing w:after="100" w:line="280" w:lineRule="auto"/>
      </w:pPr>
      <w:r>
        <w:rPr>
          <w:rFonts w:ascii="Calibri" w:hAnsi="Calibri"/>
          <w:b w:val="0"/>
          <w:color w:val="1A1A1A"/>
          <w:sz w:val="22"/>
        </w:rPr>
        <w:t>Classificacao: avaliar alta ou baixa como investigacao paralela, sem forcar uma acuracia artificial em uma tarefa naturalmente mais instavel.</w:t>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60"/>
            </w:pPr>
            <w:r>
              <w:rPr>
                <w:rFonts w:ascii="Calibri" w:hAnsi="Calibri"/>
                <w:b/>
                <w:color w:val="1F7A4D"/>
                <w:sz w:val="22"/>
              </w:rPr>
              <w:t>Decisao metodologica</w:t>
            </w:r>
          </w:p>
          <w:p>
            <w:pPr>
              <w:spacing w:after="0"/>
            </w:pPr>
            <w:r>
              <w:rPr>
                <w:rFonts w:ascii="Calibri" w:hAnsi="Calibri"/>
                <w:b w:val="0"/>
                <w:color w:val="1A1A1A"/>
                <w:sz w:val="20"/>
              </w:rPr>
              <w:t>A meta formal e defendida pela regressao, com validacao temporal correta. A classificacao entra como transparencia tecnica sobre os limites reais do problema.</w:t>
            </w:r>
          </w:p>
        </w:tc>
      </w:tr>
    </w:tbl>
    <w:p/>
    <w:p>
      <w:pPr>
        <w:pStyle w:val="Heading2"/>
        <w:spacing w:before="300" w:after="150"/>
      </w:pPr>
      <w:r>
        <w:rPr>
          <w:rFonts w:ascii="Calibri" w:hAnsi="Calibri"/>
          <w:b/>
          <w:color w:val="2E74B5"/>
          <w:sz w:val="26"/>
        </w:rPr>
        <w:t>1.1 Aderencia ao enunciado</w:t>
      </w:r>
    </w:p>
    <w:tbl>
      <w:tblPr>
        <w:tblStyle w:val="TableGrid"/>
        <w:tblW w:type="auto" w:w="0"/>
        <w:jc w:val="center"/>
        <w:tblLayout w:type="fixed"/>
        <w:tblLook w:firstColumn="1" w:firstRow="1" w:lastColumn="0" w:lastRow="0" w:noHBand="0" w:noVBand="1" w:val="04A0"/>
      </w:tblPr>
      <w:tblGrid>
        <w:gridCol w:w="4680"/>
        <w:gridCol w:w="4680"/>
      </w:tblGrid>
      <w:tr>
        <w:trPr>
          <w:cantSplit/>
        </w:trPr>
        <w:tc>
          <w:tcPr>
            <w:tcW w:type="dxa" w:w="3312"/>
            <w:vAlign w:val="center"/>
            <w:shd w:fill="F2F4F7"/>
            <w:tcMar>
              <w:top w:w="80" w:type="dxa"/>
              <w:start w:w="120" w:type="dxa"/>
              <w:bottom w:w="80" w:type="dxa"/>
              <w:end w:w="120" w:type="dxa"/>
            </w:tcMar>
          </w:tcPr>
          <w:p>
            <w:pPr>
              <w:jc w:val="center"/>
            </w:pPr>
            <w:r>
              <w:rPr>
                <w:rFonts w:ascii="Calibri" w:hAnsi="Calibri"/>
                <w:b/>
                <w:color w:val="1F4D78"/>
                <w:sz w:val="18"/>
              </w:rPr>
              <w:t>Exigencia da prova</w:t>
            </w:r>
          </w:p>
        </w:tc>
        <w:tc>
          <w:tcPr>
            <w:tcW w:type="dxa" w:w="6048"/>
            <w:vAlign w:val="center"/>
            <w:shd w:fill="F2F4F7"/>
            <w:tcMar>
              <w:top w:w="80" w:type="dxa"/>
              <w:start w:w="120" w:type="dxa"/>
              <w:bottom w:w="80" w:type="dxa"/>
              <w:end w:w="120" w:type="dxa"/>
            </w:tcMar>
          </w:tcPr>
          <w:p>
            <w:pPr>
              <w:jc w:val="center"/>
            </w:pPr>
            <w:r>
              <w:rPr>
                <w:rFonts w:ascii="Calibri" w:hAnsi="Calibri"/>
                <w:b/>
                <w:color w:val="1F4D78"/>
                <w:sz w:val="18"/>
              </w:rPr>
              <w:t>Como foi atendida</w:t>
            </w:r>
          </w:p>
        </w:tc>
      </w:tr>
      <w:tr>
        <w:trPr>
          <w:cantSplit/>
        </w:trPr>
        <w:tc>
          <w:tcPr>
            <w:tcW w:type="dxa" w:w="3312"/>
            <w:vAlign w:val="center"/>
            <w:tcMar>
              <w:top w:w="80" w:type="dxa"/>
              <w:start w:w="120" w:type="dxa"/>
              <w:bottom w:w="80" w:type="dxa"/>
              <w:end w:w="120" w:type="dxa"/>
            </w:tcMar>
          </w:tcPr>
          <w:p>
            <w:pPr>
              <w:jc w:val="left"/>
            </w:pPr>
            <w:r>
              <w:rPr>
                <w:rFonts w:ascii="Calibri" w:hAnsi="Calibri"/>
                <w:b w:val="0"/>
                <w:color w:val="1A1A1A"/>
                <w:sz w:val="18"/>
              </w:rPr>
              <w:t>Modelo de serie temporal</w:t>
            </w:r>
          </w:p>
        </w:tc>
        <w:tc>
          <w:tcPr>
            <w:tcW w:type="dxa" w:w="6048"/>
            <w:vAlign w:val="center"/>
            <w:tcMar>
              <w:top w:w="80" w:type="dxa"/>
              <w:start w:w="120" w:type="dxa"/>
              <w:bottom w:w="80" w:type="dxa"/>
              <w:end w:w="120" w:type="dxa"/>
            </w:tcMar>
          </w:tcPr>
          <w:p>
            <w:pPr>
              <w:jc w:val="left"/>
            </w:pPr>
            <w:r>
              <w:rPr>
                <w:rFonts w:ascii="Calibri" w:hAnsi="Calibri"/>
                <w:b w:val="0"/>
                <w:color w:val="1A1A1A"/>
                <w:sz w:val="18"/>
              </w:rPr>
              <w:t>ARIMA(5,1,0) com validacao walk-forward e comparacao contra baseline.</w:t>
            </w:r>
          </w:p>
        </w:tc>
      </w:tr>
      <w:tr>
        <w:trPr>
          <w:cantSplit/>
        </w:trPr>
        <w:tc>
          <w:tcPr>
            <w:tcW w:type="dxa" w:w="3312"/>
            <w:vAlign w:val="center"/>
            <w:tcMar>
              <w:top w:w="80" w:type="dxa"/>
              <w:start w:w="120" w:type="dxa"/>
              <w:bottom w:w="80" w:type="dxa"/>
              <w:end w:w="120" w:type="dxa"/>
            </w:tcMar>
          </w:tcPr>
          <w:p>
            <w:pPr>
              <w:jc w:val="left"/>
            </w:pPr>
            <w:r>
              <w:rPr>
                <w:rFonts w:ascii="Calibri" w:hAnsi="Calibri"/>
                <w:b w:val="0"/>
                <w:color w:val="1A1A1A"/>
                <w:sz w:val="18"/>
              </w:rPr>
              <w:t>Assertividade minima de 80%</w:t>
            </w:r>
          </w:p>
        </w:tc>
        <w:tc>
          <w:tcPr>
            <w:tcW w:type="dxa" w:w="6048"/>
            <w:vAlign w:val="center"/>
            <w:tcMar>
              <w:top w:w="80" w:type="dxa"/>
              <w:start w:w="120" w:type="dxa"/>
              <w:bottom w:w="80" w:type="dxa"/>
              <w:end w:w="120" w:type="dxa"/>
            </w:tcMar>
          </w:tcPr>
          <w:p>
            <w:pPr>
              <w:jc w:val="left"/>
            </w:pPr>
            <w:r>
              <w:rPr>
                <w:rFonts w:ascii="Calibri" w:hAnsi="Calibri"/>
                <w:b w:val="0"/>
                <w:color w:val="1A1A1A"/>
                <w:sz w:val="18"/>
              </w:rPr>
              <w:t>99,07% por 1 - WMAPE e 92,00% dentro da faixa de 2,15%.</w:t>
            </w:r>
          </w:p>
        </w:tc>
      </w:tr>
      <w:tr>
        <w:trPr>
          <w:cantSplit/>
        </w:trPr>
        <w:tc>
          <w:tcPr>
            <w:tcW w:type="dxa" w:w="3312"/>
            <w:vAlign w:val="center"/>
            <w:tcMar>
              <w:top w:w="80" w:type="dxa"/>
              <w:start w:w="120" w:type="dxa"/>
              <w:bottom w:w="80" w:type="dxa"/>
              <w:end w:w="120" w:type="dxa"/>
            </w:tcMar>
          </w:tcPr>
          <w:p>
            <w:pPr>
              <w:jc w:val="left"/>
            </w:pPr>
            <w:r>
              <w:rPr>
                <w:rFonts w:ascii="Calibri" w:hAnsi="Calibri"/>
                <w:b w:val="0"/>
                <w:color w:val="1A1A1A"/>
                <w:sz w:val="18"/>
              </w:rPr>
              <w:t>Storytelling dos picos</w:t>
            </w:r>
          </w:p>
        </w:tc>
        <w:tc>
          <w:tcPr>
            <w:tcW w:type="dxa" w:w="6048"/>
            <w:vAlign w:val="center"/>
            <w:tcMar>
              <w:top w:w="80" w:type="dxa"/>
              <w:start w:w="120" w:type="dxa"/>
              <w:bottom w:w="80" w:type="dxa"/>
              <w:end w:w="120" w:type="dxa"/>
            </w:tcMar>
          </w:tcPr>
          <w:p>
            <w:pPr>
              <w:jc w:val="left"/>
            </w:pPr>
            <w:r>
              <w:rPr>
                <w:rFonts w:ascii="Calibri" w:hAnsi="Calibri"/>
                <w:b w:val="0"/>
                <w:color w:val="1A1A1A"/>
                <w:sz w:val="18"/>
              </w:rPr>
              <w:t>Linha do tempo economica e leitura dos choques de volatilidade.</w:t>
            </w:r>
          </w:p>
        </w:tc>
      </w:tr>
      <w:tr>
        <w:trPr>
          <w:cantSplit/>
        </w:trPr>
        <w:tc>
          <w:tcPr>
            <w:tcW w:type="dxa" w:w="3312"/>
            <w:vAlign w:val="center"/>
            <w:tcMar>
              <w:top w:w="80" w:type="dxa"/>
              <w:start w:w="120" w:type="dxa"/>
              <w:bottom w:w="80" w:type="dxa"/>
              <w:end w:w="120" w:type="dxa"/>
            </w:tcMar>
          </w:tcPr>
          <w:p>
            <w:pPr>
              <w:jc w:val="left"/>
            </w:pPr>
            <w:r>
              <w:rPr>
                <w:rFonts w:ascii="Calibri" w:hAnsi="Calibri"/>
                <w:b w:val="0"/>
                <w:color w:val="1A1A1A"/>
                <w:sz w:val="18"/>
              </w:rPr>
              <w:t>Explicacao e vantagens do modelo</w:t>
            </w:r>
          </w:p>
        </w:tc>
        <w:tc>
          <w:tcPr>
            <w:tcW w:type="dxa" w:w="6048"/>
            <w:vAlign w:val="center"/>
            <w:tcMar>
              <w:top w:w="80" w:type="dxa"/>
              <w:start w:w="120" w:type="dxa"/>
              <w:bottom w:w="80" w:type="dxa"/>
              <w:end w:w="120" w:type="dxa"/>
            </w:tcMar>
          </w:tcPr>
          <w:p>
            <w:pPr>
              <w:jc w:val="left"/>
            </w:pPr>
            <w:r>
              <w:rPr>
                <w:rFonts w:ascii="Calibri" w:hAnsi="Calibri"/>
                <w:b w:val="0"/>
                <w:color w:val="1A1A1A"/>
                <w:sz w:val="18"/>
              </w:rPr>
              <w:t>ADF, ACF/PACF, vantagens do ARIMA e comparacao com modelos alternativos.</w:t>
            </w:r>
          </w:p>
        </w:tc>
      </w:tr>
      <w:tr>
        <w:trPr>
          <w:cantSplit/>
        </w:trPr>
        <w:tc>
          <w:tcPr>
            <w:tcW w:type="dxa" w:w="3312"/>
            <w:vAlign w:val="center"/>
            <w:tcMar>
              <w:top w:w="80" w:type="dxa"/>
              <w:start w:w="120" w:type="dxa"/>
              <w:bottom w:w="80" w:type="dxa"/>
              <w:end w:w="120" w:type="dxa"/>
            </w:tcMar>
          </w:tcPr>
          <w:p>
            <w:pPr>
              <w:jc w:val="left"/>
            </w:pPr>
            <w:r>
              <w:rPr>
                <w:rFonts w:ascii="Calibri" w:hAnsi="Calibri"/>
                <w:b w:val="0"/>
                <w:color w:val="1A1A1A"/>
                <w:sz w:val="18"/>
              </w:rPr>
              <w:t>Previsao de 15 dias</w:t>
            </w:r>
          </w:p>
        </w:tc>
        <w:tc>
          <w:tcPr>
            <w:tcW w:type="dxa" w:w="6048"/>
            <w:vAlign w:val="center"/>
            <w:tcMar>
              <w:top w:w="80" w:type="dxa"/>
              <w:start w:w="120" w:type="dxa"/>
              <w:bottom w:w="80" w:type="dxa"/>
              <w:end w:w="120" w:type="dxa"/>
            </w:tcMar>
          </w:tcPr>
          <w:p>
            <w:pPr>
              <w:jc w:val="left"/>
            </w:pPr>
            <w:r>
              <w:rPr>
                <w:rFonts w:ascii="Calibri" w:hAnsi="Calibri"/>
                <w:b w:val="0"/>
                <w:color w:val="1A1A1A"/>
                <w:sz w:val="18"/>
              </w:rPr>
              <w:t>Tabela e grafico de 30/07/2026 a 19/08/2026 com intervalo de confianca.</w:t>
            </w:r>
          </w:p>
        </w:tc>
      </w:tr>
    </w:tbl>
    <w:p>
      <w:r>
        <w:br w:type="page"/>
      </w:r>
    </w:p>
    <w:p>
      <w:pPr>
        <w:pStyle w:val="Heading2"/>
        <w:spacing w:before="300" w:after="150"/>
      </w:pPr>
      <w:r>
        <w:rPr>
          <w:rFonts w:ascii="Calibri" w:hAnsi="Calibri"/>
          <w:b/>
          <w:color w:val="2E74B5"/>
          <w:sz w:val="26"/>
        </w:rPr>
        <w:t>1.2 Como a entrega esta organizada</w:t>
      </w:r>
    </w:p>
    <w:p>
      <w:pPr>
        <w:pStyle w:val="ListBullet"/>
        <w:spacing w:after="100" w:line="280" w:lineRule="auto"/>
      </w:pPr>
      <w:r>
        <w:rPr>
          <w:rFonts w:ascii="Calibri" w:hAnsi="Calibri"/>
          <w:b w:val="0"/>
          <w:color w:val="1A1A1A"/>
          <w:sz w:val="22"/>
        </w:rPr>
        <w:t>Leitura, limpeza e padronizacao da base historica.</w:t>
      </w:r>
    </w:p>
    <w:p>
      <w:pPr>
        <w:pStyle w:val="ListBullet"/>
        <w:spacing w:after="100" w:line="280" w:lineRule="auto"/>
      </w:pPr>
      <w:r>
        <w:rPr>
          <w:rFonts w:ascii="Calibri" w:hAnsi="Calibri"/>
          <w:b w:val="0"/>
          <w:color w:val="1A1A1A"/>
          <w:sz w:val="22"/>
        </w:rPr>
        <w:t>Storytelling exploratorio e contexto economico dos ciclos do IBOVESPA.</w:t>
      </w:r>
    </w:p>
    <w:p>
      <w:pPr>
        <w:pStyle w:val="ListBullet"/>
        <w:spacing w:after="100" w:line="280" w:lineRule="auto"/>
      </w:pPr>
      <w:r>
        <w:rPr>
          <w:rFonts w:ascii="Calibri" w:hAnsi="Calibri"/>
          <w:b w:val="0"/>
          <w:color w:val="1A1A1A"/>
          <w:sz w:val="22"/>
        </w:rPr>
        <w:t>Decomposicao da serie, teste ADF e leitura de ACF/PACF.</w:t>
      </w:r>
    </w:p>
    <w:p>
      <w:pPr>
        <w:pStyle w:val="ListBullet"/>
        <w:spacing w:after="100" w:line="280" w:lineRule="auto"/>
      </w:pPr>
      <w:r>
        <w:rPr>
          <w:rFonts w:ascii="Calibri" w:hAnsi="Calibri"/>
          <w:b w:val="0"/>
          <w:color w:val="1A1A1A"/>
          <w:sz w:val="22"/>
        </w:rPr>
        <w:t>Engenharia de atributos para modelos complementares.</w:t>
      </w:r>
    </w:p>
    <w:p>
      <w:pPr>
        <w:pStyle w:val="ListBullet"/>
        <w:spacing w:after="100" w:line="280" w:lineRule="auto"/>
      </w:pPr>
      <w:r>
        <w:rPr>
          <w:rFonts w:ascii="Calibri" w:hAnsi="Calibri"/>
          <w:b w:val="0"/>
          <w:color w:val="1A1A1A"/>
          <w:sz w:val="22"/>
        </w:rPr>
        <w:t>Separacao treino/teste respeitando a ordem temporal.</w:t>
      </w:r>
    </w:p>
    <w:p>
      <w:pPr>
        <w:pStyle w:val="ListBullet"/>
        <w:spacing w:after="100" w:line="280" w:lineRule="auto"/>
      </w:pPr>
      <w:r>
        <w:rPr>
          <w:rFonts w:ascii="Calibri" w:hAnsi="Calibri"/>
          <w:b w:val="0"/>
          <w:color w:val="1A1A1A"/>
          <w:sz w:val="22"/>
        </w:rPr>
        <w:t>Baseline de persistencia, ARIMA estatico e ARIMA walk-forward.</w:t>
      </w:r>
    </w:p>
    <w:p>
      <w:pPr>
        <w:pStyle w:val="ListBullet"/>
        <w:spacing w:after="100" w:line="280" w:lineRule="auto"/>
      </w:pPr>
      <w:r>
        <w:rPr>
          <w:rFonts w:ascii="Calibri" w:hAnsi="Calibri"/>
          <w:b w:val="0"/>
          <w:color w:val="1A1A1A"/>
          <w:sz w:val="22"/>
        </w:rPr>
        <w:t>Comparacao de resultados por WMAPE, MAE e tolerancia de erro.</w:t>
      </w:r>
    </w:p>
    <w:p>
      <w:pPr>
        <w:pStyle w:val="ListBullet"/>
        <w:spacing w:after="100" w:line="280" w:lineRule="auto"/>
      </w:pPr>
      <w:r>
        <w:rPr>
          <w:rFonts w:ascii="Calibri" w:hAnsi="Calibri"/>
          <w:b w:val="0"/>
          <w:color w:val="1A1A1A"/>
          <w:sz w:val="22"/>
        </w:rPr>
        <w:t>Predicao dos proximos 15 pregoes e conclusao com limitacoes.</w:t>
      </w:r>
    </w:p>
    <w:p>
      <w:r>
        <w:br w:type="page"/>
      </w:r>
    </w:p>
    <w:p>
      <w:pPr>
        <w:pStyle w:val="Heading1"/>
        <w:spacing w:before="400" w:after="200"/>
      </w:pPr>
      <w:r>
        <w:rPr>
          <w:rFonts w:ascii="Calibri" w:hAnsi="Calibri"/>
          <w:b/>
          <w:color w:val="2E74B5"/>
          <w:sz w:val="32"/>
        </w:rPr>
        <w:t>2. Preparacao da base historica</w:t>
      </w:r>
    </w:p>
    <w:p>
      <w:pPr>
        <w:spacing w:after="200" w:line="300" w:lineRule="auto"/>
        <w:jc w:val="both"/>
      </w:pPr>
      <w:r>
        <w:rPr>
          <w:rFonts w:ascii="Calibri" w:hAnsi="Calibri"/>
          <w:b w:val="0"/>
          <w:color w:val="1A1A1A"/>
          <w:sz w:val="22"/>
        </w:rPr>
        <w:t>A base utilizada contem o historico diario do IBOVESPA obtido no Investing.com, com data, fechamento, abertura, maxima, minima, volume negociado e variacao percentual. O arquivo original vem em ordem decrescente, do pregao mais recente para o mais antigo, e usa formato brasileiro nos numeros.</w:t>
      </w:r>
    </w:p>
    <w:p>
      <w:pPr>
        <w:spacing w:after="200" w:line="300" w:lineRule="auto"/>
        <w:jc w:val="both"/>
      </w:pPr>
      <w:r>
        <w:rPr>
          <w:rFonts w:ascii="Calibri" w:hAnsi="Calibri"/>
          <w:b w:val="0"/>
          <w:color w:val="1A1A1A"/>
          <w:sz w:val="22"/>
        </w:rPr>
        <w:t>A etapa de limpeza foi tratada com cuidado porque valores como 175.831 representam 175.831 pontos, nao 175,831 pontos. Por isso, a leitura inicial preserva tudo como texto e a conversao numerica acontece de forma controlada.</w:t>
      </w:r>
    </w:p>
    <w:tbl>
      <w:tblPr>
        <w:tblStyle w:val="TableGrid"/>
        <w:tblW w:type="auto" w:w="0"/>
        <w:jc w:val="center"/>
        <w:tblLayout w:type="fixed"/>
        <w:tblLook w:firstColumn="1" w:firstRow="1" w:lastColumn="0" w:lastRow="0" w:noHBand="0" w:noVBand="1" w:val="04A0"/>
      </w:tblPr>
      <w:tblGrid>
        <w:gridCol w:w="4680"/>
        <w:gridCol w:w="4680"/>
      </w:tblGrid>
      <w:tr>
        <w:trPr>
          <w:cantSplit/>
        </w:trPr>
        <w:tc>
          <w:tcPr>
            <w:tcW w:type="dxa" w:w="3168"/>
            <w:vAlign w:val="center"/>
            <w:shd w:fill="F2F4F7"/>
            <w:tcMar>
              <w:top w:w="80" w:type="dxa"/>
              <w:start w:w="120" w:type="dxa"/>
              <w:bottom w:w="80" w:type="dxa"/>
              <w:end w:w="120" w:type="dxa"/>
            </w:tcMar>
          </w:tcPr>
          <w:p>
            <w:pPr>
              <w:jc w:val="center"/>
            </w:pPr>
            <w:r>
              <w:rPr>
                <w:rFonts w:ascii="Calibri" w:hAnsi="Calibri"/>
                <w:b/>
                <w:color w:val="1F4D78"/>
                <w:sz w:val="18"/>
              </w:rPr>
              <w:t>Indicador</w:t>
            </w:r>
          </w:p>
        </w:tc>
        <w:tc>
          <w:tcPr>
            <w:tcW w:type="dxa" w:w="6192"/>
            <w:vAlign w:val="center"/>
            <w:shd w:fill="F2F4F7"/>
            <w:tcMar>
              <w:top w:w="80" w:type="dxa"/>
              <w:start w:w="120" w:type="dxa"/>
              <w:bottom w:w="80" w:type="dxa"/>
              <w:end w:w="120" w:type="dxa"/>
            </w:tcMar>
          </w:tcPr>
          <w:p>
            <w:pPr>
              <w:jc w:val="center"/>
            </w:pPr>
            <w:r>
              <w:rPr>
                <w:rFonts w:ascii="Calibri" w:hAnsi="Calibri"/>
                <w:b/>
                <w:color w:val="1F4D78"/>
                <w:sz w:val="18"/>
              </w:rPr>
              <w:t>Valor</w:t>
            </w:r>
          </w:p>
        </w:tc>
      </w:tr>
      <w:tr>
        <w:trPr>
          <w:cantSplit/>
        </w:trPr>
        <w:tc>
          <w:tcPr>
            <w:tcW w:type="dxa" w:w="3168"/>
            <w:vAlign w:val="center"/>
            <w:tcMar>
              <w:top w:w="80" w:type="dxa"/>
              <w:start w:w="120" w:type="dxa"/>
              <w:bottom w:w="80" w:type="dxa"/>
              <w:end w:w="120" w:type="dxa"/>
            </w:tcMar>
          </w:tcPr>
          <w:p>
            <w:pPr>
              <w:jc w:val="center"/>
            </w:pPr>
            <w:r>
              <w:rPr>
                <w:rFonts w:ascii="Calibri" w:hAnsi="Calibri"/>
                <w:b w:val="0"/>
                <w:color w:val="1A1A1A"/>
                <w:sz w:val="18"/>
              </w:rPr>
              <w:t>Periodo bruto</w:t>
            </w:r>
          </w:p>
        </w:tc>
        <w:tc>
          <w:tcPr>
            <w:tcW w:type="dxa" w:w="6192"/>
            <w:vAlign w:val="center"/>
            <w:tcMar>
              <w:top w:w="80" w:type="dxa"/>
              <w:start w:w="120" w:type="dxa"/>
              <w:bottom w:w="80" w:type="dxa"/>
              <w:end w:w="120" w:type="dxa"/>
            </w:tcMar>
          </w:tcPr>
          <w:p>
            <w:pPr>
              <w:jc w:val="left"/>
            </w:pPr>
            <w:r>
              <w:rPr>
                <w:rFonts w:ascii="Calibri" w:hAnsi="Calibri"/>
                <w:b w:val="0"/>
                <w:color w:val="1A1A1A"/>
                <w:sz w:val="18"/>
              </w:rPr>
              <w:t>2010-01-04 a 2026-07-29</w:t>
            </w:r>
          </w:p>
        </w:tc>
      </w:tr>
      <w:tr>
        <w:trPr>
          <w:cantSplit/>
        </w:trPr>
        <w:tc>
          <w:tcPr>
            <w:tcW w:type="dxa" w:w="3168"/>
            <w:vAlign w:val="center"/>
            <w:tcMar>
              <w:top w:w="80" w:type="dxa"/>
              <w:start w:w="120" w:type="dxa"/>
              <w:bottom w:w="80" w:type="dxa"/>
              <w:end w:w="120" w:type="dxa"/>
            </w:tcMar>
          </w:tcPr>
          <w:p>
            <w:pPr>
              <w:jc w:val="left"/>
            </w:pPr>
            <w:r>
              <w:rPr>
                <w:rFonts w:ascii="Calibri" w:hAnsi="Calibri"/>
                <w:b w:val="0"/>
                <w:color w:val="1A1A1A"/>
                <w:sz w:val="18"/>
              </w:rPr>
              <w:t>Quantidade de pregoes</w:t>
            </w:r>
          </w:p>
        </w:tc>
        <w:tc>
          <w:tcPr>
            <w:tcW w:type="dxa" w:w="6192"/>
            <w:vAlign w:val="center"/>
            <w:tcMar>
              <w:top w:w="80" w:type="dxa"/>
              <w:start w:w="120" w:type="dxa"/>
              <w:bottom w:w="80" w:type="dxa"/>
              <w:end w:w="120" w:type="dxa"/>
            </w:tcMar>
          </w:tcPr>
          <w:p>
            <w:pPr>
              <w:jc w:val="center"/>
            </w:pPr>
            <w:r>
              <w:rPr>
                <w:rFonts w:ascii="Calibri" w:hAnsi="Calibri"/>
                <w:b w:val="0"/>
                <w:color w:val="1A1A1A"/>
                <w:sz w:val="18"/>
              </w:rPr>
              <w:t>4.110</w:t>
            </w:r>
          </w:p>
        </w:tc>
      </w:tr>
      <w:tr>
        <w:trPr>
          <w:cantSplit/>
        </w:trPr>
        <w:tc>
          <w:tcPr>
            <w:tcW w:type="dxa" w:w="3168"/>
            <w:vAlign w:val="center"/>
            <w:tcMar>
              <w:top w:w="80" w:type="dxa"/>
              <w:start w:w="120" w:type="dxa"/>
              <w:bottom w:w="80" w:type="dxa"/>
              <w:end w:w="120" w:type="dxa"/>
            </w:tcMar>
          </w:tcPr>
          <w:p>
            <w:pPr>
              <w:jc w:val="center"/>
            </w:pPr>
            <w:r>
              <w:rPr>
                <w:rFonts w:ascii="Calibri" w:hAnsi="Calibri"/>
                <w:b w:val="0"/>
                <w:color w:val="1A1A1A"/>
                <w:sz w:val="18"/>
              </w:rPr>
              <w:t>Colunas originais</w:t>
            </w:r>
          </w:p>
        </w:tc>
        <w:tc>
          <w:tcPr>
            <w:tcW w:type="dxa" w:w="6192"/>
            <w:vAlign w:val="center"/>
            <w:tcMar>
              <w:top w:w="80" w:type="dxa"/>
              <w:start w:w="120" w:type="dxa"/>
              <w:bottom w:w="80" w:type="dxa"/>
              <w:end w:w="120" w:type="dxa"/>
            </w:tcMar>
          </w:tcPr>
          <w:p>
            <w:pPr>
              <w:jc w:val="center"/>
            </w:pPr>
            <w:r>
              <w:rPr>
                <w:rFonts w:ascii="Calibri" w:hAnsi="Calibri"/>
                <w:b w:val="0"/>
                <w:color w:val="1A1A1A"/>
                <w:sz w:val="18"/>
              </w:rPr>
              <w:t>7</w:t>
            </w:r>
          </w:p>
        </w:tc>
      </w:tr>
      <w:tr>
        <w:trPr>
          <w:cantSplit/>
        </w:trPr>
        <w:tc>
          <w:tcPr>
            <w:tcW w:type="dxa" w:w="3168"/>
            <w:vAlign w:val="center"/>
            <w:tcMar>
              <w:top w:w="80" w:type="dxa"/>
              <w:start w:w="120" w:type="dxa"/>
              <w:bottom w:w="80" w:type="dxa"/>
              <w:end w:w="120" w:type="dxa"/>
            </w:tcMar>
          </w:tcPr>
          <w:p>
            <w:pPr>
              <w:jc w:val="center"/>
            </w:pPr>
            <w:r>
              <w:rPr>
                <w:rFonts w:ascii="Calibri" w:hAnsi="Calibri"/>
                <w:b w:val="0"/>
                <w:color w:val="1A1A1A"/>
                <w:sz w:val="18"/>
              </w:rPr>
              <w:t>Fonte</w:t>
            </w:r>
          </w:p>
        </w:tc>
        <w:tc>
          <w:tcPr>
            <w:tcW w:type="dxa" w:w="6192"/>
            <w:vAlign w:val="center"/>
            <w:tcMar>
              <w:top w:w="80" w:type="dxa"/>
              <w:start w:w="120" w:type="dxa"/>
              <w:bottom w:w="80" w:type="dxa"/>
              <w:end w:w="120" w:type="dxa"/>
            </w:tcMar>
          </w:tcPr>
          <w:p>
            <w:pPr>
              <w:jc w:val="left"/>
            </w:pPr>
            <w:r>
              <w:rPr>
                <w:rFonts w:ascii="Calibri" w:hAnsi="Calibri"/>
                <w:b w:val="0"/>
                <w:color w:val="1A1A1A"/>
                <w:sz w:val="18"/>
              </w:rPr>
              <w:t>Investing.com - historico diario do IBOVESPA</w:t>
            </w:r>
          </w:p>
        </w:tc>
      </w:tr>
    </w:tbl>
    <w:p/>
    <w:p>
      <w:pPr>
        <w:pStyle w:val="Heading2"/>
        <w:spacing w:before="300" w:after="150"/>
      </w:pPr>
      <w:r>
        <w:rPr>
          <w:rFonts w:ascii="Calibri" w:hAnsi="Calibri"/>
          <w:b/>
          <w:color w:val="2E74B5"/>
          <w:sz w:val="26"/>
        </w:rPr>
        <w:t>2.1 Regras de limpeza implementadas</w:t>
      </w:r>
    </w:p>
    <w:p>
      <w:pPr>
        <w:pStyle w:val="ListBullet"/>
        <w:spacing w:after="100" w:line="280" w:lineRule="auto"/>
      </w:pPr>
      <w:r>
        <w:rPr>
          <w:rFonts w:ascii="Calibri" w:hAnsi="Calibri"/>
          <w:b w:val="0"/>
          <w:color w:val="1A1A1A"/>
          <w:sz w:val="22"/>
        </w:rPr>
        <w:t>Conversao da coluna de data para tipo datetime e reordenacao cronologica.</w:t>
      </w:r>
    </w:p>
    <w:p>
      <w:pPr>
        <w:pStyle w:val="ListBullet"/>
        <w:spacing w:after="100" w:line="280" w:lineRule="auto"/>
      </w:pPr>
      <w:r>
        <w:rPr>
          <w:rFonts w:ascii="Calibri" w:hAnsi="Calibri"/>
          <w:b w:val="0"/>
          <w:color w:val="1A1A1A"/>
          <w:sz w:val="22"/>
        </w:rPr>
        <w:t>Conversao de fechamento, abertura, maxima e minima do formato brasileiro para numero.</w:t>
      </w:r>
    </w:p>
    <w:p>
      <w:pPr>
        <w:pStyle w:val="ListBullet"/>
        <w:spacing w:after="100" w:line="280" w:lineRule="auto"/>
      </w:pPr>
      <w:r>
        <w:rPr>
          <w:rFonts w:ascii="Calibri" w:hAnsi="Calibri"/>
          <w:b w:val="0"/>
          <w:color w:val="1A1A1A"/>
          <w:sz w:val="22"/>
        </w:rPr>
        <w:t>Conversao da variacao percentual removendo o simbolo de porcentagem e respeitando virgula decimal.</w:t>
      </w:r>
    </w:p>
    <w:p>
      <w:pPr>
        <w:pStyle w:val="ListBullet"/>
        <w:spacing w:after="100" w:line="280" w:lineRule="auto"/>
      </w:pPr>
      <w:r>
        <w:rPr>
          <w:rFonts w:ascii="Calibri" w:hAnsi="Calibri"/>
          <w:b w:val="0"/>
          <w:color w:val="1A1A1A"/>
          <w:sz w:val="22"/>
        </w:rPr>
        <w:t>Padronizacao do volume negociado, que mistura unidades K, M e B no export do Investing.com.</w:t>
      </w:r>
    </w:p>
    <w:p>
      <w:pPr>
        <w:pStyle w:val="ListBullet"/>
        <w:spacing w:after="100" w:line="280" w:lineRule="auto"/>
      </w:pPr>
      <w:r>
        <w:rPr>
          <w:rFonts w:ascii="Calibri" w:hAnsi="Calibri"/>
          <w:b w:val="0"/>
          <w:color w:val="1A1A1A"/>
          <w:sz w:val="22"/>
        </w:rPr>
        <w:t>Normalizacao dos nomes de colunas para evitar problemas com acentos em diferentes ambientes.</w:t>
      </w:r>
    </w:p>
    <w:p>
      <w:pPr>
        <w:spacing w:before="100" w:after="100" w:line="240" w:lineRule="auto"/>
      </w:pPr>
      <w:r>
        <w:rPr>
          <w:rFonts w:ascii="Consolas" w:hAnsi="Consolas"/>
          <w:b w:val="0"/>
          <w:color w:val="333333"/>
          <w:sz w:val="18"/>
        </w:rPr>
        <w:t>raw_df = load_raw_data()</w:t>
      </w:r>
      <w:r>
        <w:br/>
      </w:r>
      <w:r>
        <w:rPr>
          <w:rFonts w:ascii="Consolas" w:hAnsi="Consolas"/>
          <w:b w:val="0"/>
          <w:color w:val="333333"/>
          <w:sz w:val="18"/>
        </w:rPr>
        <w:t>dados = clean_ibovespa_data(raw_df)</w:t>
      </w:r>
      <w:r>
        <w:br/>
      </w:r>
      <w:r>
        <w:rPr>
          <w:rFonts w:ascii="Consolas" w:hAnsi="Consolas"/>
          <w:b w:val="0"/>
          <w:color w:val="333333"/>
          <w:sz w:val="18"/>
        </w:rPr>
      </w:r>
      <w:r>
        <w:br/>
      </w:r>
      <w:r>
        <w:rPr>
          <w:rFonts w:ascii="Consolas" w:hAnsi="Consolas"/>
          <w:b w:val="0"/>
          <w:color w:val="333333"/>
          <w:sz w:val="18"/>
        </w:rPr>
        <w:t>cleaned["data"] = pd.to_datetime(cleaned["data"], format="%d.%m.%Y")</w:t>
      </w:r>
      <w:r>
        <w:br/>
      </w:r>
      <w:r>
        <w:rPr>
          <w:rFonts w:ascii="Consolas" w:hAnsi="Consolas"/>
          <w:b w:val="0"/>
          <w:color w:val="333333"/>
          <w:sz w:val="18"/>
        </w:rPr>
        <w:t>cleaned = cleaned.sort_values("data").reset_index(drop=True)</w:t>
      </w:r>
      <w:r>
        <w:br/>
      </w:r>
      <w:r>
        <w:rPr>
          <w:rFonts w:ascii="Consolas" w:hAnsi="Consolas"/>
          <w:b w:val="0"/>
          <w:color w:val="333333"/>
          <w:sz w:val="18"/>
        </w:rPr>
      </w:r>
      <w:r>
        <w:br/>
      </w:r>
      <w:r>
        <w:rPr>
          <w:rFonts w:ascii="Consolas" w:hAnsi="Consolas"/>
          <w:b w:val="0"/>
          <w:color w:val="333333"/>
          <w:sz w:val="18"/>
        </w:rPr>
        <w:t>for column in ["fechamento", "abertura", "maxima", "minima"]:</w:t>
      </w:r>
      <w:r>
        <w:br/>
      </w:r>
      <w:r>
        <w:rPr>
          <w:rFonts w:ascii="Consolas" w:hAnsi="Consolas"/>
          <w:b w:val="0"/>
          <w:color w:val="333333"/>
          <w:sz w:val="18"/>
        </w:rPr>
        <w:t xml:space="preserve">    cleaned[column] = cleaned[column].apply(parse_brazilian_number)</w:t>
      </w:r>
    </w:p>
    <w:p>
      <w:pPr>
        <w:spacing w:after="200" w:line="300" w:lineRule="auto"/>
        <w:jc w:val="both"/>
      </w:pPr>
      <w:r>
        <w:rPr>
          <w:rFonts w:ascii="Calibri" w:hAnsi="Calibri"/>
          <w:b w:val="0"/>
          <w:color w:val="1A1A1A"/>
          <w:sz w:val="22"/>
        </w:rPr>
        <w:t>O volume recebeu uma funcao propria porque a fonte alterna unidades no mesmo campo. Sem esse cuidado, valores em milhoes e bilhoes poderiam ser comparados como se estivessem na mesma escala, distorcendo qualquer atributo derivado de liquidez.</w:t>
      </w:r>
    </w:p>
    <w:p>
      <w:pPr>
        <w:pStyle w:val="Heading1"/>
        <w:spacing w:before="400" w:after="200"/>
      </w:pPr>
      <w:r>
        <w:rPr>
          <w:rFonts w:ascii="Calibri" w:hAnsi="Calibri"/>
          <w:b/>
          <w:color w:val="2E74B5"/>
          <w:sz w:val="32"/>
        </w:rPr>
        <w:t>3. Leitura historica do IBOVESPA</w:t>
      </w:r>
    </w:p>
    <w:p>
      <w:pPr>
        <w:spacing w:after="200" w:line="300" w:lineRule="auto"/>
        <w:jc w:val="both"/>
      </w:pPr>
      <w:r>
        <w:rPr>
          <w:rFonts w:ascii="Calibri" w:hAnsi="Calibri"/>
          <w:b w:val="0"/>
          <w:color w:val="1A1A1A"/>
          <w:sz w:val="22"/>
        </w:rPr>
        <w:t>Com os dados limpos, a primeira leitura foi visual: antes de propor modelos, e preciso entender o comportamento historico do indice. A serie do IBOVESPA nao apresenta um padrao sazonal simples; ela e marcada por ciclos longos, choques macroeconomicos e mudancas de regime.</w:t>
      </w:r>
    </w:p>
    <w:p>
      <w:pPr>
        <w:jc w:val="center"/>
      </w:pPr>
      <w:r>
        <w:drawing>
          <wp:inline xmlns:a="http://schemas.openxmlformats.org/drawingml/2006/main" xmlns:pic="http://schemas.openxmlformats.org/drawingml/2006/picture">
            <wp:extent cx="5669280" cy="1909474"/>
            <wp:docPr id="1" name="Picture 1"/>
            <wp:cNvGraphicFramePr>
              <a:graphicFrameLocks noChangeAspect="1"/>
            </wp:cNvGraphicFramePr>
            <a:graphic>
              <a:graphicData uri="http://schemas.openxmlformats.org/drawingml/2006/picture">
                <pic:pic>
                  <pic:nvPicPr>
                    <pic:cNvPr id="0" name="01_fechamento_historico.png"/>
                    <pic:cNvPicPr/>
                  </pic:nvPicPr>
                  <pic:blipFill>
                    <a:blip r:embed="rId10"/>
                    <a:stretch>
                      <a:fillRect/>
                    </a:stretch>
                  </pic:blipFill>
                  <pic:spPr>
                    <a:xfrm>
                      <a:off x="0" y="0"/>
                      <a:ext cx="5669280" cy="1909474"/>
                    </a:xfrm>
                    <a:prstGeom prst="rect"/>
                  </pic:spPr>
                </pic:pic>
              </a:graphicData>
            </a:graphic>
          </wp:inline>
        </w:drawing>
      </w:r>
    </w:p>
    <w:p>
      <w:pPr>
        <w:jc w:val="center"/>
      </w:pPr>
      <w:r>
        <w:rPr>
          <w:rFonts w:ascii="Calibri" w:hAnsi="Calibri"/>
          <w:b w:val="0"/>
          <w:color w:val="666666"/>
          <w:sz w:val="18"/>
        </w:rPr>
        <w:t>Figura 1 - Evolucao historica do fechamento do IBOVESPA.</w:t>
      </w:r>
    </w:p>
    <w:p>
      <w:pPr>
        <w:pStyle w:val="Heading2"/>
        <w:spacing w:before="300" w:after="150"/>
      </w:pPr>
      <w:r>
        <w:rPr>
          <w:rFonts w:ascii="Calibri" w:hAnsi="Calibri"/>
          <w:b/>
          <w:color w:val="2E74B5"/>
          <w:sz w:val="26"/>
        </w:rPr>
        <w:t>3.1 Ciclos economicos observados</w:t>
      </w:r>
    </w:p>
    <w:p>
      <w:pPr>
        <w:spacing w:after="200" w:line="300" w:lineRule="auto"/>
        <w:jc w:val="both"/>
      </w:pPr>
      <w:r>
        <w:rPr>
          <w:rFonts w:ascii="Calibri" w:hAnsi="Calibri"/>
          <w:b w:val="0"/>
          <w:color w:val="1A1A1A"/>
          <w:sz w:val="22"/>
        </w:rPr>
        <w:t>A leitura de negocio foi organizada em periodos. Essa etapa e importante porque transforma o grafico em storytelling: cada movimento relevante da serie passa a ser conectado a um contexto economico e politico plausivel.</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rPr>
        <w:tc>
          <w:tcPr>
            <w:tcW w:type="dxa" w:w="1872"/>
            <w:vAlign w:val="center"/>
            <w:shd w:fill="F2F4F7"/>
            <w:tcMar>
              <w:top w:w="80" w:type="dxa"/>
              <w:start w:w="120" w:type="dxa"/>
              <w:bottom w:w="80" w:type="dxa"/>
              <w:end w:w="120" w:type="dxa"/>
            </w:tcMar>
          </w:tcPr>
          <w:p>
            <w:pPr>
              <w:jc w:val="center"/>
            </w:pPr>
            <w:r>
              <w:rPr>
                <w:rFonts w:ascii="Calibri" w:hAnsi="Calibri"/>
                <w:b/>
                <w:color w:val="1F4D78"/>
                <w:sz w:val="18"/>
              </w:rPr>
              <w:t>Periodo</w:t>
            </w:r>
          </w:p>
        </w:tc>
        <w:tc>
          <w:tcPr>
            <w:tcW w:type="dxa" w:w="2448"/>
            <w:vAlign w:val="center"/>
            <w:shd w:fill="F2F4F7"/>
            <w:tcMar>
              <w:top w:w="80" w:type="dxa"/>
              <w:start w:w="120" w:type="dxa"/>
              <w:bottom w:w="80" w:type="dxa"/>
              <w:end w:w="120" w:type="dxa"/>
            </w:tcMar>
          </w:tcPr>
          <w:p>
            <w:pPr>
              <w:jc w:val="center"/>
            </w:pPr>
            <w:r>
              <w:rPr>
                <w:rFonts w:ascii="Calibri" w:hAnsi="Calibri"/>
                <w:b/>
                <w:color w:val="1F4D78"/>
                <w:sz w:val="18"/>
              </w:rPr>
              <w:t>Comportamento</w:t>
            </w:r>
          </w:p>
        </w:tc>
        <w:tc>
          <w:tcPr>
            <w:tcW w:type="dxa" w:w="5040"/>
            <w:vAlign w:val="center"/>
            <w:shd w:fill="F2F4F7"/>
            <w:tcMar>
              <w:top w:w="80" w:type="dxa"/>
              <w:start w:w="120" w:type="dxa"/>
              <w:bottom w:w="80" w:type="dxa"/>
              <w:end w:w="120" w:type="dxa"/>
            </w:tcMar>
          </w:tcPr>
          <w:p>
            <w:pPr>
              <w:jc w:val="center"/>
            </w:pPr>
            <w:r>
              <w:rPr>
                <w:rFonts w:ascii="Calibri" w:hAnsi="Calibri"/>
                <w:b/>
                <w:color w:val="1F4D78"/>
                <w:sz w:val="18"/>
              </w:rPr>
              <w:t>Contexto</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2010-2015</w:t>
            </w:r>
          </w:p>
        </w:tc>
        <w:tc>
          <w:tcPr>
            <w:tcW w:type="dxa" w:w="2448"/>
            <w:vAlign w:val="center"/>
            <w:tcMar>
              <w:top w:w="80" w:type="dxa"/>
              <w:start w:w="120" w:type="dxa"/>
              <w:bottom w:w="80" w:type="dxa"/>
              <w:end w:w="120" w:type="dxa"/>
            </w:tcMar>
          </w:tcPr>
          <w:p>
            <w:pPr>
              <w:jc w:val="center"/>
            </w:pPr>
            <w:r>
              <w:rPr>
                <w:rFonts w:ascii="Calibri" w:hAnsi="Calibri"/>
                <w:b w:val="0"/>
                <w:color w:val="1A1A1A"/>
                <w:sz w:val="18"/>
              </w:rPr>
              <w:t>Queda / estagnacao</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Desaceleracao economica, deterioracao fiscal e perda de confianca do mercado.</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2015-2016</w:t>
            </w:r>
          </w:p>
        </w:tc>
        <w:tc>
          <w:tcPr>
            <w:tcW w:type="dxa" w:w="2448"/>
            <w:vAlign w:val="center"/>
            <w:tcMar>
              <w:top w:w="80" w:type="dxa"/>
              <w:start w:w="120" w:type="dxa"/>
              <w:bottom w:w="80" w:type="dxa"/>
              <w:end w:w="120" w:type="dxa"/>
            </w:tcMar>
          </w:tcPr>
          <w:p>
            <w:pPr>
              <w:jc w:val="center"/>
            </w:pPr>
            <w:r>
              <w:rPr>
                <w:rFonts w:ascii="Calibri" w:hAnsi="Calibri"/>
                <w:b w:val="0"/>
                <w:color w:val="1A1A1A"/>
                <w:sz w:val="18"/>
              </w:rPr>
              <w:t>Ponto de minimo</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Crise politica, impeachment e recessao economica elevaram a aversao a risco.</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2016-2020</w:t>
            </w:r>
          </w:p>
        </w:tc>
        <w:tc>
          <w:tcPr>
            <w:tcW w:type="dxa" w:w="2448"/>
            <w:vAlign w:val="center"/>
            <w:tcMar>
              <w:top w:w="80" w:type="dxa"/>
              <w:start w:w="120" w:type="dxa"/>
              <w:bottom w:w="80" w:type="dxa"/>
              <w:end w:w="120" w:type="dxa"/>
            </w:tcMar>
          </w:tcPr>
          <w:p>
            <w:pPr>
              <w:jc w:val="center"/>
            </w:pPr>
            <w:r>
              <w:rPr>
                <w:rFonts w:ascii="Calibri" w:hAnsi="Calibri"/>
                <w:b w:val="0"/>
                <w:color w:val="1A1A1A"/>
                <w:sz w:val="18"/>
              </w:rPr>
              <w:t>Ciclo de alta</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Expectativa de reformas, juros globais baixos e retomada gradual do fluxo para risco.</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Fev-Mar/2020</w:t>
            </w:r>
          </w:p>
        </w:tc>
        <w:tc>
          <w:tcPr>
            <w:tcW w:type="dxa" w:w="2448"/>
            <w:vAlign w:val="center"/>
            <w:tcMar>
              <w:top w:w="80" w:type="dxa"/>
              <w:start w:w="120" w:type="dxa"/>
              <w:bottom w:w="80" w:type="dxa"/>
              <w:end w:w="120" w:type="dxa"/>
            </w:tcMar>
          </w:tcPr>
          <w:p>
            <w:pPr>
              <w:jc w:val="center"/>
            </w:pPr>
            <w:r>
              <w:rPr>
                <w:rFonts w:ascii="Calibri" w:hAnsi="Calibri"/>
                <w:b w:val="0"/>
                <w:color w:val="1A1A1A"/>
                <w:sz w:val="18"/>
              </w:rPr>
              <w:t>Choque abrupto</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Pandemia de Covid-19, circuit breakers e repricing global de ativos.</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2020-2021</w:t>
            </w:r>
          </w:p>
        </w:tc>
        <w:tc>
          <w:tcPr>
            <w:tcW w:type="dxa" w:w="2448"/>
            <w:vAlign w:val="center"/>
            <w:tcMar>
              <w:top w:w="80" w:type="dxa"/>
              <w:start w:w="120" w:type="dxa"/>
              <w:bottom w:w="80" w:type="dxa"/>
              <w:end w:w="120" w:type="dxa"/>
            </w:tcMar>
          </w:tcPr>
          <w:p>
            <w:pPr>
              <w:jc w:val="center"/>
            </w:pPr>
            <w:r>
              <w:rPr>
                <w:rFonts w:ascii="Calibri" w:hAnsi="Calibri"/>
                <w:b w:val="0"/>
                <w:color w:val="1A1A1A"/>
                <w:sz w:val="18"/>
              </w:rPr>
              <w:t>Recuperacao em V</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Estimulos monetarios/fiscais e Selic em patamar historicamente baixo.</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2021-2022</w:t>
            </w:r>
          </w:p>
        </w:tc>
        <w:tc>
          <w:tcPr>
            <w:tcW w:type="dxa" w:w="2448"/>
            <w:vAlign w:val="center"/>
            <w:tcMar>
              <w:top w:w="80" w:type="dxa"/>
              <w:start w:w="120" w:type="dxa"/>
              <w:bottom w:w="80" w:type="dxa"/>
              <w:end w:w="120" w:type="dxa"/>
            </w:tcMar>
          </w:tcPr>
          <w:p>
            <w:pPr>
              <w:jc w:val="left"/>
            </w:pPr>
            <w:r>
              <w:rPr>
                <w:rFonts w:ascii="Calibri" w:hAnsi="Calibri"/>
                <w:b w:val="0"/>
                <w:color w:val="1A1A1A"/>
                <w:sz w:val="18"/>
              </w:rPr>
              <w:t>Lateralizacao / queda</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Aperto monetario para conter inflacao e aumento da incerteza eleitoral.</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2023-2026</w:t>
            </w:r>
          </w:p>
        </w:tc>
        <w:tc>
          <w:tcPr>
            <w:tcW w:type="dxa" w:w="2448"/>
            <w:vAlign w:val="center"/>
            <w:tcMar>
              <w:top w:w="80" w:type="dxa"/>
              <w:start w:w="120" w:type="dxa"/>
              <w:bottom w:w="80" w:type="dxa"/>
              <w:end w:w="120" w:type="dxa"/>
            </w:tcMar>
          </w:tcPr>
          <w:p>
            <w:pPr>
              <w:jc w:val="center"/>
            </w:pPr>
            <w:r>
              <w:rPr>
                <w:rFonts w:ascii="Calibri" w:hAnsi="Calibri"/>
                <w:b w:val="0"/>
                <w:color w:val="1A1A1A"/>
                <w:sz w:val="18"/>
              </w:rPr>
              <w:t>Novo ciclo de alta</w:t>
            </w:r>
          </w:p>
        </w:tc>
        <w:tc>
          <w:tcPr>
            <w:tcW w:type="dxa" w:w="5040"/>
            <w:vAlign w:val="center"/>
            <w:tcMar>
              <w:top w:w="80" w:type="dxa"/>
              <w:start w:w="120" w:type="dxa"/>
              <w:bottom w:w="80" w:type="dxa"/>
              <w:end w:w="120" w:type="dxa"/>
            </w:tcMar>
          </w:tcPr>
          <w:p>
            <w:pPr>
              <w:jc w:val="left"/>
            </w:pPr>
            <w:r>
              <w:rPr>
                <w:rFonts w:ascii="Calibri" w:hAnsi="Calibri"/>
                <w:b w:val="0"/>
                <w:color w:val="1A1A1A"/>
                <w:sz w:val="18"/>
              </w:rPr>
              <w:t>Ciclo de corte de juros, resultados corporativos e renovacao de recordes do indice.</w:t>
            </w:r>
          </w:p>
        </w:tc>
      </w:tr>
    </w:tbl>
    <w:p/>
    <w:p>
      <w:pPr>
        <w:spacing w:after="200" w:line="300" w:lineRule="auto"/>
        <w:jc w:val="both"/>
      </w:pPr>
      <w:r>
        <w:rPr>
          <w:rFonts w:ascii="Calibri" w:hAnsi="Calibri"/>
          <w:b w:val="0"/>
          <w:color w:val="1A1A1A"/>
          <w:sz w:val="22"/>
        </w:rPr>
        <w:t>Esse pano de fundo reforca que o IBOVESPA precisa ser reavaliado periodicamente: o comportamento estatistico do indice muda quando o ambiente de juros, risco politico, fluxo estrangeiro e resultados corporativos tambem muda.</w:t>
      </w:r>
    </w:p>
    <w:p>
      <w:pPr>
        <w:pStyle w:val="Heading2"/>
        <w:spacing w:before="300" w:after="150"/>
      </w:pPr>
      <w:r>
        <w:rPr>
          <w:rFonts w:ascii="Calibri" w:hAnsi="Calibri"/>
          <w:b/>
          <w:color w:val="2E74B5"/>
          <w:sz w:val="26"/>
        </w:rPr>
        <w:t>3.2 Retornos, choques e faixa de tolerancia</w:t>
      </w:r>
    </w:p>
    <w:p>
      <w:pPr>
        <w:spacing w:after="200" w:line="300" w:lineRule="auto"/>
        <w:jc w:val="both"/>
      </w:pPr>
      <w:r>
        <w:rPr>
          <w:rFonts w:ascii="Calibri" w:hAnsi="Calibri"/>
          <w:b w:val="0"/>
          <w:color w:val="1A1A1A"/>
          <w:sz w:val="22"/>
        </w:rPr>
        <w:t>A variacao diaria mostra que a maior parte dos pregoes se concentra em movimentos pequenos, enquanto choques extremos aparecem em momentos especificos, especialmente em 2020. Essa distribuicao justifica usar uma metrica de tolerancia alem do WMAPE.</w:t>
      </w:r>
    </w:p>
    <w:p>
      <w:pPr>
        <w:jc w:val="center"/>
      </w:pPr>
      <w:r>
        <w:drawing>
          <wp:inline xmlns:a="http://schemas.openxmlformats.org/drawingml/2006/main" xmlns:pic="http://schemas.openxmlformats.org/drawingml/2006/picture">
            <wp:extent cx="5669280" cy="1734470"/>
            <wp:docPr id="2" name="Picture 2"/>
            <wp:cNvGraphicFramePr>
              <a:graphicFrameLocks noChangeAspect="1"/>
            </wp:cNvGraphicFramePr>
            <a:graphic>
              <a:graphicData uri="http://schemas.openxmlformats.org/drawingml/2006/picture">
                <pic:pic>
                  <pic:nvPicPr>
                    <pic:cNvPr id="0" name="02_volatilidade_retorno.png"/>
                    <pic:cNvPicPr/>
                  </pic:nvPicPr>
                  <pic:blipFill>
                    <a:blip r:embed="rId11"/>
                    <a:stretch>
                      <a:fillRect/>
                    </a:stretch>
                  </pic:blipFill>
                  <pic:spPr>
                    <a:xfrm>
                      <a:off x="0" y="0"/>
                      <a:ext cx="5669280" cy="1734470"/>
                    </a:xfrm>
                    <a:prstGeom prst="rect"/>
                  </pic:spPr>
                </pic:pic>
              </a:graphicData>
            </a:graphic>
          </wp:inline>
        </w:drawing>
      </w:r>
    </w:p>
    <w:p>
      <w:pPr>
        <w:jc w:val="center"/>
      </w:pPr>
      <w:r>
        <w:rPr>
          <w:rFonts w:ascii="Calibri" w:hAnsi="Calibri"/>
          <w:b w:val="0"/>
          <w:color w:val="666666"/>
          <w:sz w:val="18"/>
        </w:rPr>
        <w:t>Figura 2 - Retornos diarios e distribuicao da variacao percentual.</w:t>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60"/>
            </w:pPr>
            <w:r>
              <w:rPr>
                <w:rFonts w:ascii="Calibri" w:hAnsi="Calibri"/>
                <w:b/>
                <w:color w:val="7A5A00"/>
                <w:sz w:val="22"/>
              </w:rPr>
              <w:t>Faixa operacional</w:t>
            </w:r>
          </w:p>
          <w:p>
            <w:pPr>
              <w:spacing w:after="0"/>
            </w:pPr>
            <w:r>
              <w:rPr>
                <w:rFonts w:ascii="Calibri" w:hAnsi="Calibri"/>
                <w:b w:val="0"/>
                <w:color w:val="1A1A1A"/>
                <w:sz w:val="20"/>
              </w:rPr>
              <w:t>A media de variacao absoluta diaria ficou proxima de 1,04%, enquanto o percentil 90 ficou perto de 2,20%. Por isso, a faixa de 2,15% foi usada como criterio pratico de acerto alem do WMAPE.</w:t>
            </w:r>
          </w:p>
        </w:tc>
      </w:tr>
    </w:tbl>
    <w:p/>
    <w:p>
      <w:r>
        <w:br w:type="page"/>
      </w:r>
    </w:p>
    <w:p>
      <w:pPr>
        <w:pStyle w:val="Heading1"/>
        <w:spacing w:before="400" w:after="200"/>
      </w:pPr>
      <w:r>
        <w:rPr>
          <w:rFonts w:ascii="Calibri" w:hAnsi="Calibri"/>
          <w:b/>
          <w:color w:val="2E74B5"/>
          <w:sz w:val="32"/>
        </w:rPr>
        <w:t>4. Diagnostico estatistico da serie</w:t>
      </w:r>
    </w:p>
    <w:p>
      <w:pPr>
        <w:pStyle w:val="Heading2"/>
        <w:spacing w:before="300" w:after="150"/>
      </w:pPr>
      <w:r>
        <w:rPr>
          <w:rFonts w:ascii="Calibri" w:hAnsi="Calibri"/>
          <w:b/>
          <w:color w:val="2E74B5"/>
          <w:sz w:val="26"/>
        </w:rPr>
        <w:t>4.1 Separacao entre tendencia, sazonalidade e residuo</w:t>
      </w:r>
    </w:p>
    <w:p>
      <w:pPr>
        <w:spacing w:after="200" w:line="300" w:lineRule="auto"/>
        <w:jc w:val="both"/>
      </w:pPr>
      <w:r>
        <w:rPr>
          <w:rFonts w:ascii="Calibri" w:hAnsi="Calibri"/>
          <w:b w:val="0"/>
          <w:color w:val="1A1A1A"/>
          <w:sz w:val="22"/>
        </w:rPr>
        <w:t>Para decompor a serie em tendencia, sazonalidade e residuo, a serie foi reorganizada em frequencia diaria e preenchida com o ultimo fechamento conhecido apenas para fins visuais. Os modelos preditivos continuam usando os dias reais de pregao.</w:t>
      </w:r>
    </w:p>
    <w:p>
      <w:pPr>
        <w:jc w:val="center"/>
      </w:pPr>
      <w:r>
        <w:drawing>
          <wp:inline xmlns:a="http://schemas.openxmlformats.org/drawingml/2006/main" xmlns:pic="http://schemas.openxmlformats.org/drawingml/2006/picture">
            <wp:extent cx="5669280" cy="3292764"/>
            <wp:docPr id="3" name="Picture 3"/>
            <wp:cNvGraphicFramePr>
              <a:graphicFrameLocks noChangeAspect="1"/>
            </wp:cNvGraphicFramePr>
            <a:graphic>
              <a:graphicData uri="http://schemas.openxmlformats.org/drawingml/2006/picture">
                <pic:pic>
                  <pic:nvPicPr>
                    <pic:cNvPr id="0" name="03_decomposicao.png"/>
                    <pic:cNvPicPr/>
                  </pic:nvPicPr>
                  <pic:blipFill>
                    <a:blip r:embed="rId12"/>
                    <a:stretch>
                      <a:fillRect/>
                    </a:stretch>
                  </pic:blipFill>
                  <pic:spPr>
                    <a:xfrm>
                      <a:off x="0" y="0"/>
                      <a:ext cx="5669280" cy="3292764"/>
                    </a:xfrm>
                    <a:prstGeom prst="rect"/>
                  </pic:spPr>
                </pic:pic>
              </a:graphicData>
            </a:graphic>
          </wp:inline>
        </w:drawing>
      </w:r>
    </w:p>
    <w:p>
      <w:pPr>
        <w:jc w:val="center"/>
      </w:pPr>
      <w:r>
        <w:rPr>
          <w:rFonts w:ascii="Calibri" w:hAnsi="Calibri"/>
          <w:b w:val="0"/>
          <w:color w:val="666666"/>
          <w:sz w:val="18"/>
        </w:rPr>
        <w:t>Figura 3 - Decomposicao da serie de fechamento.</w:t>
      </w:r>
    </w:p>
    <w:p>
      <w:pPr>
        <w:spacing w:after="200" w:line="300" w:lineRule="auto"/>
        <w:jc w:val="both"/>
      </w:pPr>
      <w:r>
        <w:rPr>
          <w:rFonts w:ascii="Calibri" w:hAnsi="Calibri"/>
          <w:b w:val="0"/>
          <w:color w:val="1A1A1A"/>
          <w:sz w:val="22"/>
        </w:rPr>
        <w:t>A decomposicao mostra que a tendencia explica a maior parte do movimento historico. A sazonalidade anual aparece com amplitude pequena, enquanto os residuos concentram choques nao explicados, principalmente em momentos de estresse de mercado.</w:t>
      </w:r>
    </w:p>
    <w:p>
      <w:r>
        <w:br w:type="page"/>
      </w:r>
    </w:p>
    <w:p>
      <w:pPr>
        <w:pStyle w:val="Heading2"/>
        <w:spacing w:before="300" w:after="150"/>
      </w:pPr>
      <w:r>
        <w:rPr>
          <w:rFonts w:ascii="Calibri" w:hAnsi="Calibri"/>
          <w:b/>
          <w:color w:val="2E74B5"/>
          <w:sz w:val="26"/>
        </w:rPr>
        <w:t>4.2 Estacionariedade pelo teste ADF</w:t>
      </w:r>
    </w:p>
    <w:p>
      <w:pPr>
        <w:spacing w:after="200" w:line="300" w:lineRule="auto"/>
        <w:jc w:val="both"/>
      </w:pPr>
      <w:r>
        <w:rPr>
          <w:rFonts w:ascii="Calibri" w:hAnsi="Calibri"/>
          <w:b w:val="0"/>
          <w:color w:val="1A1A1A"/>
          <w:sz w:val="22"/>
        </w:rPr>
        <w:t>O teste ADF foi usado para decidir a ordem de diferenciacao do ARIMA. A hipotese nula do teste e que a serie possui raiz unitaria, ou seja, nao e estacionaria.</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rPr>
        <w:tc>
          <w:tcPr>
            <w:tcW w:type="dxa" w:w="2880"/>
            <w:vAlign w:val="center"/>
            <w:shd w:fill="F2F4F7"/>
            <w:tcMar>
              <w:top w:w="80" w:type="dxa"/>
              <w:start w:w="120" w:type="dxa"/>
              <w:bottom w:w="80" w:type="dxa"/>
              <w:end w:w="120" w:type="dxa"/>
            </w:tcMar>
          </w:tcPr>
          <w:p>
            <w:pPr>
              <w:jc w:val="center"/>
            </w:pPr>
            <w:r>
              <w:rPr>
                <w:rFonts w:ascii="Calibri" w:hAnsi="Calibri"/>
                <w:b/>
                <w:color w:val="1F4D78"/>
                <w:sz w:val="18"/>
              </w:rPr>
              <w:t>Teste ADF</w:t>
            </w:r>
          </w:p>
        </w:tc>
        <w:tc>
          <w:tcPr>
            <w:tcW w:type="dxa" w:w="2304"/>
            <w:vAlign w:val="center"/>
            <w:shd w:fill="F2F4F7"/>
            <w:tcMar>
              <w:top w:w="80" w:type="dxa"/>
              <w:start w:w="120" w:type="dxa"/>
              <w:bottom w:w="80" w:type="dxa"/>
              <w:end w:w="120" w:type="dxa"/>
            </w:tcMar>
          </w:tcPr>
          <w:p>
            <w:pPr>
              <w:jc w:val="center"/>
            </w:pPr>
            <w:r>
              <w:rPr>
                <w:rFonts w:ascii="Calibri" w:hAnsi="Calibri"/>
                <w:b/>
                <w:color w:val="1F4D78"/>
                <w:sz w:val="18"/>
              </w:rPr>
              <w:t>P-valor</w:t>
            </w:r>
          </w:p>
        </w:tc>
        <w:tc>
          <w:tcPr>
            <w:tcW w:type="dxa" w:w="4176"/>
            <w:vAlign w:val="center"/>
            <w:shd w:fill="F2F4F7"/>
            <w:tcMar>
              <w:top w:w="80" w:type="dxa"/>
              <w:start w:w="120" w:type="dxa"/>
              <w:bottom w:w="80" w:type="dxa"/>
              <w:end w:w="120" w:type="dxa"/>
            </w:tcMar>
          </w:tcPr>
          <w:p>
            <w:pPr>
              <w:jc w:val="center"/>
            </w:pPr>
            <w:r>
              <w:rPr>
                <w:rFonts w:ascii="Calibri" w:hAnsi="Calibri"/>
                <w:b/>
                <w:color w:val="1F4D78"/>
                <w:sz w:val="18"/>
              </w:rPr>
              <w:t>Interpretacao</w:t>
            </w:r>
          </w:p>
        </w:tc>
      </w:tr>
      <w:tr>
        <w:trPr>
          <w:cantSplit/>
        </w:trPr>
        <w:tc>
          <w:tcPr>
            <w:tcW w:type="dxa" w:w="2880"/>
            <w:vAlign w:val="center"/>
            <w:tcMar>
              <w:top w:w="80" w:type="dxa"/>
              <w:start w:w="120" w:type="dxa"/>
              <w:bottom w:w="80" w:type="dxa"/>
              <w:end w:w="120" w:type="dxa"/>
            </w:tcMar>
          </w:tcPr>
          <w:p>
            <w:pPr>
              <w:jc w:val="center"/>
            </w:pPr>
            <w:r>
              <w:rPr>
                <w:rFonts w:ascii="Calibri" w:hAnsi="Calibri"/>
                <w:b w:val="0"/>
                <w:color w:val="1A1A1A"/>
                <w:sz w:val="18"/>
              </w:rPr>
              <w:t>Serie original</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0,9439</w:t>
            </w:r>
          </w:p>
        </w:tc>
        <w:tc>
          <w:tcPr>
            <w:tcW w:type="dxa" w:w="4176"/>
            <w:vAlign w:val="center"/>
            <w:tcMar>
              <w:top w:w="80" w:type="dxa"/>
              <w:start w:w="120" w:type="dxa"/>
              <w:bottom w:w="80" w:type="dxa"/>
              <w:end w:w="120" w:type="dxa"/>
            </w:tcMar>
          </w:tcPr>
          <w:p>
            <w:pPr>
              <w:jc w:val="center"/>
            </w:pPr>
            <w:r>
              <w:rPr>
                <w:rFonts w:ascii="Calibri" w:hAnsi="Calibri"/>
                <w:b w:val="0"/>
                <w:color w:val="1A1A1A"/>
                <w:sz w:val="18"/>
              </w:rPr>
              <w:t>Nao estacionaria</w:t>
            </w:r>
          </w:p>
        </w:tc>
      </w:tr>
      <w:tr>
        <w:trPr>
          <w:cantSplit/>
        </w:trPr>
        <w:tc>
          <w:tcPr>
            <w:tcW w:type="dxa" w:w="2880"/>
            <w:vAlign w:val="center"/>
            <w:tcMar>
              <w:top w:w="80" w:type="dxa"/>
              <w:start w:w="120" w:type="dxa"/>
              <w:bottom w:w="80" w:type="dxa"/>
              <w:end w:w="120" w:type="dxa"/>
            </w:tcMar>
          </w:tcPr>
          <w:p>
            <w:pPr>
              <w:jc w:val="center"/>
            </w:pPr>
            <w:r>
              <w:rPr>
                <w:rFonts w:ascii="Calibri" w:hAnsi="Calibri"/>
                <w:b w:val="0"/>
                <w:color w:val="1A1A1A"/>
                <w:sz w:val="18"/>
              </w:rPr>
              <w:t>Primeira diferenca</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0,00000000</w:t>
            </w:r>
          </w:p>
        </w:tc>
        <w:tc>
          <w:tcPr>
            <w:tcW w:type="dxa" w:w="4176"/>
            <w:vAlign w:val="center"/>
            <w:tcMar>
              <w:top w:w="80" w:type="dxa"/>
              <w:start w:w="120" w:type="dxa"/>
              <w:bottom w:w="80" w:type="dxa"/>
              <w:end w:w="120" w:type="dxa"/>
            </w:tcMar>
          </w:tcPr>
          <w:p>
            <w:pPr>
              <w:jc w:val="center"/>
            </w:pPr>
            <w:r>
              <w:rPr>
                <w:rFonts w:ascii="Calibri" w:hAnsi="Calibri"/>
                <w:b w:val="0"/>
                <w:color w:val="1A1A1A"/>
                <w:sz w:val="18"/>
              </w:rPr>
              <w:t>Estacionaria</w:t>
            </w:r>
          </w:p>
        </w:tc>
      </w:tr>
    </w:tbl>
    <w:p/>
    <w:p>
      <w:pPr>
        <w:spacing w:after="200" w:line="300" w:lineRule="auto"/>
        <w:jc w:val="both"/>
      </w:pPr>
      <w:r>
        <w:rPr>
          <w:rFonts w:ascii="Calibri" w:hAnsi="Calibri"/>
          <w:b w:val="0"/>
          <w:color w:val="1A1A1A"/>
          <w:sz w:val="22"/>
        </w:rPr>
        <w:t>Como a serie original nao e estacionaria e a primeira diferenca se torna estacionaria, a especificacao integrada d=1 e tecnicamente justificada.</w:t>
      </w:r>
    </w:p>
    <w:p>
      <w:pPr>
        <w:pStyle w:val="Heading2"/>
        <w:spacing w:before="300" w:after="150"/>
      </w:pPr>
      <w:r>
        <w:rPr>
          <w:rFonts w:ascii="Calibri" w:hAnsi="Calibri"/>
          <w:b/>
          <w:color w:val="2E74B5"/>
          <w:sz w:val="26"/>
        </w:rPr>
        <w:t>4.3 Memoria curta pela ACF e PACF</w:t>
      </w:r>
    </w:p>
    <w:p>
      <w:pPr>
        <w:jc w:val="center"/>
      </w:pPr>
      <w:r>
        <w:drawing>
          <wp:inline xmlns:a="http://schemas.openxmlformats.org/drawingml/2006/main" xmlns:pic="http://schemas.openxmlformats.org/drawingml/2006/picture">
            <wp:extent cx="5074920" cy="3360420"/>
            <wp:docPr id="4" name="Picture 4"/>
            <wp:cNvGraphicFramePr>
              <a:graphicFrameLocks noChangeAspect="1"/>
            </wp:cNvGraphicFramePr>
            <a:graphic>
              <a:graphicData uri="http://schemas.openxmlformats.org/drawingml/2006/picture">
                <pic:pic>
                  <pic:nvPicPr>
                    <pic:cNvPr id="0" name="04_acf_pacf.png"/>
                    <pic:cNvPicPr/>
                  </pic:nvPicPr>
                  <pic:blipFill>
                    <a:blip r:embed="rId13"/>
                    <a:stretch>
                      <a:fillRect/>
                    </a:stretch>
                  </pic:blipFill>
                  <pic:spPr>
                    <a:xfrm>
                      <a:off x="0" y="0"/>
                      <a:ext cx="5074920" cy="3360420"/>
                    </a:xfrm>
                    <a:prstGeom prst="rect"/>
                  </pic:spPr>
                </pic:pic>
              </a:graphicData>
            </a:graphic>
          </wp:inline>
        </w:drawing>
      </w:r>
    </w:p>
    <w:p>
      <w:pPr>
        <w:jc w:val="center"/>
      </w:pPr>
      <w:r>
        <w:rPr>
          <w:rFonts w:ascii="Calibri" w:hAnsi="Calibri"/>
          <w:b w:val="0"/>
          <w:color w:val="666666"/>
          <w:sz w:val="18"/>
        </w:rPr>
        <w:t>Figura 4 - ACF e PACF usadas como apoio para escolha do ARIMA.</w:t>
      </w:r>
    </w:p>
    <w:p>
      <w:pPr>
        <w:spacing w:after="200" w:line="300" w:lineRule="auto"/>
        <w:jc w:val="both"/>
      </w:pPr>
      <w:r>
        <w:rPr>
          <w:rFonts w:ascii="Calibri" w:hAnsi="Calibri"/>
          <w:b w:val="0"/>
          <w:color w:val="1A1A1A"/>
          <w:sz w:val="22"/>
        </w:rPr>
        <w:t>Os graficos de autocorrelacao indicam dependencia de curto prazo, sugerindo que os ultimos pregoes carregam informacao relevante para a previsao do proximo fechamento. Essa leitura sustenta o teste de um ARIMA com componente autorregressivo curto.</w:t>
      </w:r>
    </w:p>
    <w:p>
      <w:r>
        <w:br w:type="page"/>
      </w:r>
    </w:p>
    <w:p>
      <w:pPr>
        <w:pStyle w:val="Heading1"/>
        <w:spacing w:before="400" w:after="200"/>
      </w:pPr>
      <w:r>
        <w:rPr>
          <w:rFonts w:ascii="Calibri" w:hAnsi="Calibri"/>
          <w:b/>
          <w:color w:val="2E74B5"/>
          <w:sz w:val="32"/>
        </w:rPr>
        <w:t>5. Construcao de alvos e atributos</w:t>
      </w:r>
    </w:p>
    <w:p>
      <w:pPr>
        <w:spacing w:after="200" w:line="300" w:lineRule="auto"/>
        <w:jc w:val="both"/>
      </w:pPr>
      <w:r>
        <w:rPr>
          <w:rFonts w:ascii="Calibri" w:hAnsi="Calibri"/>
          <w:b w:val="0"/>
          <w:color w:val="1A1A1A"/>
          <w:sz w:val="22"/>
        </w:rPr>
        <w:t>Embora o ARIMA seja a entrega principal, tambem foram criados atributos tecnicos para modelos supervisionados de comparacao. Todos os atributos usam apenas informacao disponivel ate o dia da previsao, evitando vazamento de dados.</w:t>
      </w:r>
    </w:p>
    <w:p>
      <w:pPr>
        <w:pStyle w:val="ListBullet"/>
        <w:spacing w:after="100" w:line="280" w:lineRule="auto"/>
      </w:pPr>
      <w:r>
        <w:rPr>
          <w:rFonts w:ascii="Calibri" w:hAnsi="Calibri"/>
          <w:b w:val="0"/>
          <w:color w:val="1A1A1A"/>
          <w:sz w:val="22"/>
        </w:rPr>
        <w:t>Retornos acumulados e defasados em janelas curtas.</w:t>
      </w:r>
    </w:p>
    <w:p>
      <w:pPr>
        <w:pStyle w:val="ListBullet"/>
        <w:spacing w:after="100" w:line="280" w:lineRule="auto"/>
      </w:pPr>
      <w:r>
        <w:rPr>
          <w:rFonts w:ascii="Calibri" w:hAnsi="Calibri"/>
          <w:b w:val="0"/>
          <w:color w:val="1A1A1A"/>
          <w:sz w:val="22"/>
        </w:rPr>
        <w:t>Medias moveis e distancia do fechamento em relacao as medias.</w:t>
      </w:r>
    </w:p>
    <w:p>
      <w:pPr>
        <w:pStyle w:val="ListBullet"/>
        <w:spacing w:after="100" w:line="280" w:lineRule="auto"/>
      </w:pPr>
      <w:r>
        <w:rPr>
          <w:rFonts w:ascii="Calibri" w:hAnsi="Calibri"/>
          <w:b w:val="0"/>
          <w:color w:val="1A1A1A"/>
          <w:sz w:val="22"/>
        </w:rPr>
        <w:t>Volatilidade recente, amplitude intradiaria e corpo do candle.</w:t>
      </w:r>
    </w:p>
    <w:p>
      <w:pPr>
        <w:pStyle w:val="ListBullet"/>
        <w:spacing w:after="100" w:line="280" w:lineRule="auto"/>
      </w:pPr>
      <w:r>
        <w:rPr>
          <w:rFonts w:ascii="Calibri" w:hAnsi="Calibri"/>
          <w:b w:val="0"/>
          <w:color w:val="1A1A1A"/>
          <w:sz w:val="22"/>
        </w:rPr>
        <w:t>Posicao do fechamento em janelas recentes.</w:t>
      </w:r>
    </w:p>
    <w:p>
      <w:pPr>
        <w:pStyle w:val="ListBullet"/>
        <w:spacing w:after="100" w:line="280" w:lineRule="auto"/>
      </w:pPr>
      <w:r>
        <w:rPr>
          <w:rFonts w:ascii="Calibri" w:hAnsi="Calibri"/>
          <w:b w:val="0"/>
          <w:color w:val="1A1A1A"/>
          <w:sz w:val="22"/>
        </w:rPr>
        <w:t>Indicadores tecnicos como RSI, MACD e Bandas de Bollinger.</w:t>
      </w:r>
    </w:p>
    <w:p>
      <w:pPr>
        <w:pStyle w:val="ListBullet"/>
        <w:spacing w:after="100" w:line="280" w:lineRule="auto"/>
      </w:pPr>
      <w:r>
        <w:rPr>
          <w:rFonts w:ascii="Calibri" w:hAnsi="Calibri"/>
          <w:b w:val="0"/>
          <w:color w:val="1A1A1A"/>
          <w:sz w:val="22"/>
        </w:rPr>
        <w:t>Variaveis simples de calendario, como dia da semana e mes.</w:t>
      </w:r>
    </w:p>
    <w:tbl>
      <w:tblPr>
        <w:tblStyle w:val="TableGrid"/>
        <w:tblW w:type="auto" w:w="0"/>
        <w:jc w:val="center"/>
        <w:tblLayout w:type="fixed"/>
        <w:tblLook w:firstColumn="1" w:firstRow="1" w:lastColumn="0" w:lastRow="0" w:noHBand="0" w:noVBand="1" w:val="04A0"/>
      </w:tblPr>
      <w:tblGrid>
        <w:gridCol w:w="4680"/>
        <w:gridCol w:w="4680"/>
      </w:tblGrid>
      <w:tr>
        <w:trPr>
          <w:cantSplit/>
        </w:trPr>
        <w:tc>
          <w:tcPr>
            <w:tcW w:type="dxa" w:w="3744"/>
            <w:vAlign w:val="center"/>
            <w:shd w:fill="F2F4F7"/>
            <w:tcMar>
              <w:top w:w="80" w:type="dxa"/>
              <w:start w:w="120" w:type="dxa"/>
              <w:bottom w:w="80" w:type="dxa"/>
              <w:end w:w="120" w:type="dxa"/>
            </w:tcMar>
          </w:tcPr>
          <w:p>
            <w:pPr>
              <w:jc w:val="center"/>
            </w:pPr>
            <w:r>
              <w:rPr>
                <w:rFonts w:ascii="Calibri" w:hAnsi="Calibri"/>
                <w:b/>
                <w:color w:val="1F4D78"/>
                <w:sz w:val="18"/>
              </w:rPr>
              <w:t>Indicador</w:t>
            </w:r>
          </w:p>
        </w:tc>
        <w:tc>
          <w:tcPr>
            <w:tcW w:type="dxa" w:w="5616"/>
            <w:vAlign w:val="center"/>
            <w:shd w:fill="F2F4F7"/>
            <w:tcMar>
              <w:top w:w="80" w:type="dxa"/>
              <w:start w:w="120" w:type="dxa"/>
              <w:bottom w:w="80" w:type="dxa"/>
              <w:end w:w="120" w:type="dxa"/>
            </w:tcMar>
          </w:tcPr>
          <w:p>
            <w:pPr>
              <w:jc w:val="center"/>
            </w:pPr>
            <w:r>
              <w:rPr>
                <w:rFonts w:ascii="Calibri" w:hAnsi="Calibri"/>
                <w:b/>
                <w:color w:val="1F4D78"/>
                <w:sz w:val="18"/>
              </w:rPr>
              <w:t>Valor</w:t>
            </w:r>
          </w:p>
        </w:tc>
      </w:tr>
      <w:tr>
        <w:trPr>
          <w:cantSplit/>
        </w:trPr>
        <w:tc>
          <w:tcPr>
            <w:tcW w:type="dxa" w:w="3744"/>
            <w:vAlign w:val="center"/>
            <w:tcMar>
              <w:top w:w="80" w:type="dxa"/>
              <w:start w:w="120" w:type="dxa"/>
              <w:bottom w:w="80" w:type="dxa"/>
              <w:end w:w="120" w:type="dxa"/>
            </w:tcMar>
          </w:tcPr>
          <w:p>
            <w:pPr>
              <w:jc w:val="center"/>
            </w:pPr>
            <w:r>
              <w:rPr>
                <w:rFonts w:ascii="Calibri" w:hAnsi="Calibri"/>
                <w:b w:val="0"/>
                <w:color w:val="1A1A1A"/>
                <w:sz w:val="18"/>
              </w:rPr>
              <w:t>Base com features</w:t>
            </w:r>
          </w:p>
        </w:tc>
        <w:tc>
          <w:tcPr>
            <w:tcW w:type="dxa" w:w="5616"/>
            <w:vAlign w:val="center"/>
            <w:tcMar>
              <w:top w:w="80" w:type="dxa"/>
              <w:start w:w="120" w:type="dxa"/>
              <w:bottom w:w="80" w:type="dxa"/>
              <w:end w:w="120" w:type="dxa"/>
            </w:tcMar>
          </w:tcPr>
          <w:p>
            <w:pPr>
              <w:jc w:val="center"/>
            </w:pPr>
            <w:r>
              <w:rPr>
                <w:rFonts w:ascii="Calibri" w:hAnsi="Calibri"/>
                <w:b w:val="0"/>
                <w:color w:val="1A1A1A"/>
                <w:sz w:val="18"/>
              </w:rPr>
              <w:t>4.055 registros</w:t>
            </w:r>
          </w:p>
        </w:tc>
      </w:tr>
      <w:tr>
        <w:trPr>
          <w:cantSplit/>
        </w:trPr>
        <w:tc>
          <w:tcPr>
            <w:tcW w:type="dxa" w:w="3744"/>
            <w:vAlign w:val="center"/>
            <w:tcMar>
              <w:top w:w="80" w:type="dxa"/>
              <w:start w:w="120" w:type="dxa"/>
              <w:bottom w:w="80" w:type="dxa"/>
              <w:end w:w="120" w:type="dxa"/>
            </w:tcMar>
          </w:tcPr>
          <w:p>
            <w:pPr>
              <w:jc w:val="left"/>
            </w:pPr>
            <w:r>
              <w:rPr>
                <w:rFonts w:ascii="Calibri" w:hAnsi="Calibri"/>
                <w:b w:val="0"/>
                <w:color w:val="1A1A1A"/>
                <w:sz w:val="18"/>
              </w:rPr>
              <w:t>Inicio da base modelavel</w:t>
            </w:r>
          </w:p>
        </w:tc>
        <w:tc>
          <w:tcPr>
            <w:tcW w:type="dxa" w:w="5616"/>
            <w:vAlign w:val="center"/>
            <w:tcMar>
              <w:top w:w="80" w:type="dxa"/>
              <w:start w:w="120" w:type="dxa"/>
              <w:bottom w:w="80" w:type="dxa"/>
              <w:end w:w="120" w:type="dxa"/>
            </w:tcMar>
          </w:tcPr>
          <w:p>
            <w:pPr>
              <w:jc w:val="center"/>
            </w:pPr>
            <w:r>
              <w:rPr>
                <w:rFonts w:ascii="Calibri" w:hAnsi="Calibri"/>
                <w:b w:val="0"/>
                <w:color w:val="1A1A1A"/>
                <w:sz w:val="18"/>
              </w:rPr>
              <w:t>2010-03-17</w:t>
            </w:r>
          </w:p>
        </w:tc>
      </w:tr>
      <w:tr>
        <w:trPr>
          <w:cantSplit/>
        </w:trPr>
        <w:tc>
          <w:tcPr>
            <w:tcW w:type="dxa" w:w="3744"/>
            <w:vAlign w:val="center"/>
            <w:tcMar>
              <w:top w:w="80" w:type="dxa"/>
              <w:start w:w="120" w:type="dxa"/>
              <w:bottom w:w="80" w:type="dxa"/>
              <w:end w:w="120" w:type="dxa"/>
            </w:tcMar>
          </w:tcPr>
          <w:p>
            <w:pPr>
              <w:jc w:val="left"/>
            </w:pPr>
            <w:r>
              <w:rPr>
                <w:rFonts w:ascii="Calibri" w:hAnsi="Calibri"/>
                <w:b w:val="0"/>
                <w:color w:val="1A1A1A"/>
                <w:sz w:val="18"/>
              </w:rPr>
              <w:t>Fim da base modelavel</w:t>
            </w:r>
          </w:p>
        </w:tc>
        <w:tc>
          <w:tcPr>
            <w:tcW w:type="dxa" w:w="5616"/>
            <w:vAlign w:val="center"/>
            <w:tcMar>
              <w:top w:w="80" w:type="dxa"/>
              <w:start w:w="120" w:type="dxa"/>
              <w:bottom w:w="80" w:type="dxa"/>
              <w:end w:w="120" w:type="dxa"/>
            </w:tcMar>
          </w:tcPr>
          <w:p>
            <w:pPr>
              <w:jc w:val="center"/>
            </w:pPr>
            <w:r>
              <w:rPr>
                <w:rFonts w:ascii="Calibri" w:hAnsi="Calibri"/>
                <w:b w:val="0"/>
                <w:color w:val="1A1A1A"/>
                <w:sz w:val="18"/>
              </w:rPr>
              <w:t>2026-07-28</w:t>
            </w:r>
          </w:p>
        </w:tc>
      </w:tr>
      <w:tr>
        <w:trPr>
          <w:cantSplit/>
        </w:trPr>
        <w:tc>
          <w:tcPr>
            <w:tcW w:type="dxa" w:w="3744"/>
            <w:vAlign w:val="center"/>
            <w:tcMar>
              <w:top w:w="80" w:type="dxa"/>
              <w:start w:w="120" w:type="dxa"/>
              <w:bottom w:w="80" w:type="dxa"/>
              <w:end w:w="120" w:type="dxa"/>
            </w:tcMar>
          </w:tcPr>
          <w:p>
            <w:pPr>
              <w:jc w:val="left"/>
            </w:pPr>
            <w:r>
              <w:rPr>
                <w:rFonts w:ascii="Calibri" w:hAnsi="Calibri"/>
                <w:b w:val="0"/>
                <w:color w:val="1A1A1A"/>
                <w:sz w:val="18"/>
              </w:rPr>
              <w:t>Proporcao historica de altas</w:t>
            </w:r>
          </w:p>
        </w:tc>
        <w:tc>
          <w:tcPr>
            <w:tcW w:type="dxa" w:w="5616"/>
            <w:vAlign w:val="center"/>
            <w:tcMar>
              <w:top w:w="80" w:type="dxa"/>
              <w:start w:w="120" w:type="dxa"/>
              <w:bottom w:w="80" w:type="dxa"/>
              <w:end w:w="120" w:type="dxa"/>
            </w:tcMar>
          </w:tcPr>
          <w:p>
            <w:pPr>
              <w:jc w:val="center"/>
            </w:pPr>
            <w:r>
              <w:rPr>
                <w:rFonts w:ascii="Calibri" w:hAnsi="Calibri"/>
                <w:b w:val="0"/>
                <w:color w:val="1A1A1A"/>
                <w:sz w:val="18"/>
              </w:rPr>
              <w:t>51,20%</w:t>
            </w:r>
          </w:p>
        </w:tc>
      </w:tr>
    </w:tbl>
    <w:p/>
    <w:p>
      <w:pPr>
        <w:spacing w:before="100" w:after="100" w:line="240" w:lineRule="auto"/>
      </w:pPr>
      <w:r>
        <w:rPr>
          <w:rFonts w:ascii="Consolas" w:hAnsi="Consolas"/>
          <w:b w:val="0"/>
          <w:color w:val="333333"/>
          <w:sz w:val="18"/>
        </w:rPr>
        <w:t>featured["fechamento_amanha"] = featured["fechamento"].shift(-1)</w:t>
      </w:r>
      <w:r>
        <w:br/>
      </w:r>
      <w:r>
        <w:rPr>
          <w:rFonts w:ascii="Consolas" w:hAnsi="Consolas"/>
          <w:b w:val="0"/>
          <w:color w:val="333333"/>
          <w:sz w:val="18"/>
        </w:rPr>
        <w:t>featured["alta_amanha"] = (</w:t>
      </w:r>
      <w:r>
        <w:br/>
      </w:r>
      <w:r>
        <w:rPr>
          <w:rFonts w:ascii="Consolas" w:hAnsi="Consolas"/>
          <w:b w:val="0"/>
          <w:color w:val="333333"/>
          <w:sz w:val="18"/>
        </w:rPr>
        <w:t xml:space="preserve">    featured["fechamento_amanha"] &gt; featured["fechamento"]</w:t>
      </w:r>
      <w:r>
        <w:br/>
      </w:r>
      <w:r>
        <w:rPr>
          <w:rFonts w:ascii="Consolas" w:hAnsi="Consolas"/>
          <w:b w:val="0"/>
          <w:color w:val="333333"/>
          <w:sz w:val="18"/>
        </w:rPr>
        <w:t>).astype(int)</w:t>
      </w:r>
      <w:r>
        <w:br/>
      </w:r>
      <w:r>
        <w:rPr>
          <w:rFonts w:ascii="Consolas" w:hAnsi="Consolas"/>
          <w:b w:val="0"/>
          <w:color w:val="333333"/>
          <w:sz w:val="18"/>
        </w:rPr>
      </w:r>
      <w:r>
        <w:br/>
      </w:r>
      <w:r>
        <w:rPr>
          <w:rFonts w:ascii="Consolas" w:hAnsi="Consolas"/>
          <w:b w:val="0"/>
          <w:color w:val="333333"/>
          <w:sz w:val="18"/>
        </w:rPr>
        <w:t>featured["retorno_5d"] = featured["fechamento"].pct_change(5)</w:t>
      </w:r>
      <w:r>
        <w:br/>
      </w:r>
      <w:r>
        <w:rPr>
          <w:rFonts w:ascii="Consolas" w:hAnsi="Consolas"/>
          <w:b w:val="0"/>
          <w:color w:val="333333"/>
          <w:sz w:val="18"/>
        </w:rPr>
        <w:t>featured["media_movel_21"] = featured["fechamento"].rolling(21).mean()</w:t>
      </w:r>
      <w:r>
        <w:br/>
      </w:r>
      <w:r>
        <w:rPr>
          <w:rFonts w:ascii="Consolas" w:hAnsi="Consolas"/>
          <w:b w:val="0"/>
          <w:color w:val="333333"/>
          <w:sz w:val="18"/>
        </w:rPr>
        <w:t>featured["volatilidade_21d"] = featured["retorno_1d"].rolling(21).std()</w:t>
      </w:r>
    </w:p>
    <w:p>
      <w:pPr>
        <w:spacing w:after="200" w:line="300" w:lineRule="auto"/>
        <w:jc w:val="both"/>
      </w:pPr>
      <w:r>
        <w:rPr>
          <w:rFonts w:ascii="Calibri" w:hAnsi="Calibri"/>
          <w:b w:val="0"/>
          <w:color w:val="1A1A1A"/>
          <w:sz w:val="22"/>
        </w:rPr>
        <w:t>O ponto central dessa etapa e que o alvo sempre olha para o proximo pregao, enquanto as features olham apenas para tras. Essa separacao reduz o risco de lookahead bias e deixa a avaliacao mais parecida com o uso real: ao final do dia D, o modelo tenta estimar D+1.</w:t>
      </w:r>
    </w:p>
    <w:p>
      <w:r>
        <w:br w:type="page"/>
      </w:r>
    </w:p>
    <w:p>
      <w:pPr>
        <w:pStyle w:val="Heading1"/>
        <w:spacing w:before="400" w:after="200"/>
      </w:pPr>
      <w:r>
        <w:rPr>
          <w:rFonts w:ascii="Calibri" w:hAnsi="Calibri"/>
          <w:b/>
          <w:color w:val="2E74B5"/>
          <w:sz w:val="32"/>
        </w:rPr>
        <w:t>6. Validacao fora da amostra</w:t>
      </w:r>
    </w:p>
    <w:p>
      <w:pPr>
        <w:spacing w:after="200" w:line="300" w:lineRule="auto"/>
        <w:jc w:val="both"/>
      </w:pPr>
      <w:r>
        <w:rPr>
          <w:rFonts w:ascii="Calibri" w:hAnsi="Calibri"/>
          <w:b w:val="0"/>
          <w:color w:val="1A1A1A"/>
          <w:sz w:val="22"/>
        </w:rPr>
        <w:t>Para evitar vazamento de informacao futura, a divisao entre treino e teste foi feita de forma temporal. A linha preditora de 28/07/2026 usa somente informacoes conhecidas ate essa data e tem como alvo o fechamento de 29/07/2026. Assim, o teste cobre 125 datas-alvo, de 28/01/2026 a 29/07/2026.</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rPr>
        <w:tc>
          <w:tcPr>
            <w:tcW w:type="dxa" w:w="2016"/>
            <w:vAlign w:val="center"/>
            <w:shd w:fill="F2F4F7"/>
            <w:tcMar>
              <w:top w:w="80" w:type="dxa"/>
              <w:start w:w="120" w:type="dxa"/>
              <w:bottom w:w="80" w:type="dxa"/>
              <w:end w:w="120" w:type="dxa"/>
            </w:tcMar>
          </w:tcPr>
          <w:p>
            <w:pPr>
              <w:jc w:val="center"/>
            </w:pPr>
            <w:r>
              <w:rPr>
                <w:rFonts w:ascii="Calibri" w:hAnsi="Calibri"/>
                <w:b/>
                <w:color w:val="1F4D78"/>
                <w:sz w:val="18"/>
              </w:rPr>
              <w:t>Conjunto</w:t>
            </w:r>
          </w:p>
        </w:tc>
        <w:tc>
          <w:tcPr>
            <w:tcW w:type="dxa" w:w="1872"/>
            <w:vAlign w:val="center"/>
            <w:shd w:fill="F2F4F7"/>
            <w:tcMar>
              <w:top w:w="80" w:type="dxa"/>
              <w:start w:w="120" w:type="dxa"/>
              <w:bottom w:w="80" w:type="dxa"/>
              <w:end w:w="120" w:type="dxa"/>
            </w:tcMar>
          </w:tcPr>
          <w:p>
            <w:pPr>
              <w:jc w:val="center"/>
            </w:pPr>
            <w:r>
              <w:rPr>
                <w:rFonts w:ascii="Calibri" w:hAnsi="Calibri"/>
                <w:b/>
                <w:color w:val="1F4D78"/>
                <w:sz w:val="18"/>
              </w:rPr>
              <w:t>Registros</w:t>
            </w:r>
          </w:p>
        </w:tc>
        <w:tc>
          <w:tcPr>
            <w:tcW w:type="dxa" w:w="5472"/>
            <w:vAlign w:val="center"/>
            <w:shd w:fill="F2F4F7"/>
            <w:tcMar>
              <w:top w:w="80" w:type="dxa"/>
              <w:start w:w="120" w:type="dxa"/>
              <w:bottom w:w="80" w:type="dxa"/>
              <w:end w:w="120" w:type="dxa"/>
            </w:tcMar>
          </w:tcPr>
          <w:p>
            <w:pPr>
              <w:jc w:val="center"/>
            </w:pPr>
            <w:r>
              <w:rPr>
                <w:rFonts w:ascii="Calibri" w:hAnsi="Calibri"/>
                <w:b/>
                <w:color w:val="1F4D78"/>
                <w:sz w:val="18"/>
              </w:rPr>
              <w:t>Datas-alvo</w:t>
            </w:r>
          </w:p>
        </w:tc>
      </w:tr>
      <w:tr>
        <w:trPr>
          <w:cantSplit/>
        </w:trPr>
        <w:tc>
          <w:tcPr>
            <w:tcW w:type="dxa" w:w="2016"/>
            <w:vAlign w:val="center"/>
            <w:tcMar>
              <w:top w:w="80" w:type="dxa"/>
              <w:start w:w="120" w:type="dxa"/>
              <w:bottom w:w="80" w:type="dxa"/>
              <w:end w:w="120" w:type="dxa"/>
            </w:tcMar>
          </w:tcPr>
          <w:p>
            <w:pPr>
              <w:jc w:val="center"/>
            </w:pPr>
            <w:r>
              <w:rPr>
                <w:rFonts w:ascii="Calibri" w:hAnsi="Calibri"/>
                <w:b w:val="0"/>
                <w:color w:val="1A1A1A"/>
                <w:sz w:val="18"/>
              </w:rPr>
              <w:t>Treino</w:t>
            </w:r>
          </w:p>
        </w:tc>
        <w:tc>
          <w:tcPr>
            <w:tcW w:type="dxa" w:w="1872"/>
            <w:vAlign w:val="center"/>
            <w:tcMar>
              <w:top w:w="80" w:type="dxa"/>
              <w:start w:w="120" w:type="dxa"/>
              <w:bottom w:w="80" w:type="dxa"/>
              <w:end w:w="120" w:type="dxa"/>
            </w:tcMar>
          </w:tcPr>
          <w:p>
            <w:pPr>
              <w:jc w:val="center"/>
            </w:pPr>
            <w:r>
              <w:rPr>
                <w:rFonts w:ascii="Calibri" w:hAnsi="Calibri"/>
                <w:b w:val="0"/>
                <w:color w:val="1A1A1A"/>
                <w:sz w:val="18"/>
              </w:rPr>
              <w:t>3.984</w:t>
            </w:r>
          </w:p>
        </w:tc>
        <w:tc>
          <w:tcPr>
            <w:tcW w:type="dxa" w:w="5472"/>
            <w:vAlign w:val="center"/>
            <w:tcMar>
              <w:top w:w="80" w:type="dxa"/>
              <w:start w:w="120" w:type="dxa"/>
              <w:bottom w:w="80" w:type="dxa"/>
              <w:end w:w="120" w:type="dxa"/>
            </w:tcMar>
          </w:tcPr>
          <w:p>
            <w:pPr>
              <w:jc w:val="left"/>
            </w:pPr>
            <w:r>
              <w:rPr>
                <w:rFonts w:ascii="Calibri" w:hAnsi="Calibri"/>
                <w:b w:val="0"/>
                <w:color w:val="1A1A1A"/>
                <w:sz w:val="18"/>
              </w:rPr>
              <w:t>2010-01-05 a 2026-01-27</w:t>
            </w:r>
          </w:p>
        </w:tc>
      </w:tr>
      <w:tr>
        <w:trPr>
          <w:cantSplit/>
        </w:trPr>
        <w:tc>
          <w:tcPr>
            <w:tcW w:type="dxa" w:w="2016"/>
            <w:vAlign w:val="center"/>
            <w:tcMar>
              <w:top w:w="80" w:type="dxa"/>
              <w:start w:w="120" w:type="dxa"/>
              <w:bottom w:w="80" w:type="dxa"/>
              <w:end w:w="120" w:type="dxa"/>
            </w:tcMar>
          </w:tcPr>
          <w:p>
            <w:pPr>
              <w:jc w:val="center"/>
            </w:pPr>
            <w:r>
              <w:rPr>
                <w:rFonts w:ascii="Calibri" w:hAnsi="Calibri"/>
                <w:b w:val="0"/>
                <w:color w:val="1A1A1A"/>
                <w:sz w:val="18"/>
              </w:rPr>
              <w:t>Teste</w:t>
            </w:r>
          </w:p>
        </w:tc>
        <w:tc>
          <w:tcPr>
            <w:tcW w:type="dxa" w:w="1872"/>
            <w:vAlign w:val="center"/>
            <w:tcMar>
              <w:top w:w="80" w:type="dxa"/>
              <w:start w:w="120" w:type="dxa"/>
              <w:bottom w:w="80" w:type="dxa"/>
              <w:end w:w="120" w:type="dxa"/>
            </w:tcMar>
          </w:tcPr>
          <w:p>
            <w:pPr>
              <w:jc w:val="center"/>
            </w:pPr>
            <w:r>
              <w:rPr>
                <w:rFonts w:ascii="Calibri" w:hAnsi="Calibri"/>
                <w:b w:val="0"/>
                <w:color w:val="1A1A1A"/>
                <w:sz w:val="18"/>
              </w:rPr>
              <w:t>125</w:t>
            </w:r>
          </w:p>
        </w:tc>
        <w:tc>
          <w:tcPr>
            <w:tcW w:type="dxa" w:w="5472"/>
            <w:vAlign w:val="center"/>
            <w:tcMar>
              <w:top w:w="80" w:type="dxa"/>
              <w:start w:w="120" w:type="dxa"/>
              <w:bottom w:w="80" w:type="dxa"/>
              <w:end w:w="120" w:type="dxa"/>
            </w:tcMar>
          </w:tcPr>
          <w:p>
            <w:pPr>
              <w:jc w:val="left"/>
            </w:pPr>
            <w:r>
              <w:rPr>
                <w:rFonts w:ascii="Calibri" w:hAnsi="Calibri"/>
                <w:b w:val="0"/>
                <w:color w:val="1A1A1A"/>
                <w:sz w:val="18"/>
              </w:rPr>
              <w:t>2026-01-28 a 2026-07-29</w:t>
            </w:r>
          </w:p>
        </w:tc>
      </w:tr>
    </w:tbl>
    <w:p/>
    <w:p>
      <w:pPr>
        <w:spacing w:before="100" w:after="100" w:line="240" w:lineRule="auto"/>
      </w:pPr>
      <w:r>
        <w:rPr>
          <w:rFonts w:ascii="Consolas" w:hAnsi="Consolas"/>
          <w:b w:val="0"/>
          <w:color w:val="333333"/>
          <w:sz w:val="18"/>
        </w:rPr>
        <w:t>def temporal_split(dataset, test_size=125):</w:t>
      </w:r>
      <w:r>
        <w:br/>
      </w:r>
      <w:r>
        <w:rPr>
          <w:rFonts w:ascii="Consolas" w:hAnsi="Consolas"/>
          <w:b w:val="0"/>
          <w:color w:val="333333"/>
          <w:sz w:val="18"/>
        </w:rPr>
        <w:t xml:space="preserve">    train = dataset.iloc[:-test_size].copy()</w:t>
      </w:r>
      <w:r>
        <w:br/>
      </w:r>
      <w:r>
        <w:rPr>
          <w:rFonts w:ascii="Consolas" w:hAnsi="Consolas"/>
          <w:b w:val="0"/>
          <w:color w:val="333333"/>
          <w:sz w:val="18"/>
        </w:rPr>
        <w:t xml:space="preserve">    test = dataset.iloc[-test_size:].copy()</w:t>
      </w:r>
      <w:r>
        <w:br/>
      </w:r>
      <w:r>
        <w:rPr>
          <w:rFonts w:ascii="Consolas" w:hAnsi="Consolas"/>
          <w:b w:val="0"/>
          <w:color w:val="333333"/>
          <w:sz w:val="18"/>
        </w:rPr>
        <w:t xml:space="preserve">    return train, test</w:t>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60"/>
            </w:pPr>
            <w:r>
              <w:rPr>
                <w:rFonts w:ascii="Calibri" w:hAnsi="Calibri"/>
                <w:b/>
                <w:color w:val="1F4D78"/>
                <w:sz w:val="22"/>
              </w:rPr>
              <w:t>Validacao temporal</w:t>
            </w:r>
          </w:p>
          <w:p>
            <w:pPr>
              <w:spacing w:after="0"/>
            </w:pPr>
            <w:r>
              <w:rPr>
                <w:rFonts w:ascii="Calibri" w:hAnsi="Calibri"/>
                <w:b w:val="0"/>
                <w:color w:val="1A1A1A"/>
                <w:sz w:val="20"/>
              </w:rPr>
              <w:t>Nao houve embaralhamento aleatorio. O modelo foi treinado no passado e avaliado no periodo mais recente com alvo conhecido, simulando melhor uma situacao real de previsao.</w:t>
            </w:r>
          </w:p>
        </w:tc>
      </w:tr>
    </w:tbl>
    <w:p/>
    <w:p>
      <w:r>
        <w:br w:type="page"/>
      </w:r>
    </w:p>
    <w:p>
      <w:pPr>
        <w:pStyle w:val="Heading1"/>
        <w:spacing w:before="400" w:after="200"/>
      </w:pPr>
      <w:r>
        <w:rPr>
          <w:rFonts w:ascii="Calibri" w:hAnsi="Calibri"/>
          <w:b/>
          <w:color w:val="2E74B5"/>
          <w:sz w:val="32"/>
        </w:rPr>
        <w:t>7. Experimentos e escolha do modelo</w:t>
      </w:r>
    </w:p>
    <w:p>
      <w:pPr>
        <w:spacing w:after="200" w:line="300" w:lineRule="auto"/>
        <w:jc w:val="both"/>
      </w:pPr>
      <w:r>
        <w:rPr>
          <w:rFonts w:ascii="Calibri" w:hAnsi="Calibri"/>
          <w:b w:val="0"/>
          <w:color w:val="1A1A1A"/>
          <w:sz w:val="22"/>
        </w:rPr>
        <w:t>Foram comparados tres caminhos: baseline de persistencia, ARIMA estatico e ARIMA walk-forward. A persistencia usa o fechamento de hoje como previsao para amanha; o ARIMA estatico treina uma vez; o walk-forward recalibra o historico a cada novo ponto observado no teste.</w:t>
      </w:r>
    </w:p>
    <w:p>
      <w:pPr>
        <w:spacing w:after="200" w:line="300" w:lineRule="auto"/>
        <w:jc w:val="both"/>
      </w:pPr>
      <w:r>
        <w:rPr>
          <w:rFonts w:ascii="Calibri" w:hAnsi="Calibri"/>
          <w:b w:val="0"/>
          <w:color w:val="1A1A1A"/>
          <w:sz w:val="22"/>
        </w:rPr>
        <w:t>A funcao de avaliacao concentra as metricas principais. O WMAPE foi escolhido por medir erro percentual ponderado pelo tamanho real da serie; em seguida, a assertividade e calculada por 1 - WMAPE, conforme orientacao recebida para metricas de distancia.</w:t>
      </w:r>
    </w:p>
    <w:p>
      <w:pPr>
        <w:spacing w:before="100" w:after="100" w:line="240" w:lineRule="auto"/>
      </w:pPr>
      <w:r>
        <w:rPr>
          <w:rFonts w:ascii="Consolas" w:hAnsi="Consolas"/>
          <w:b w:val="0"/>
          <w:color w:val="333333"/>
          <w:sz w:val="18"/>
        </w:rPr>
        <w:t>def wmape(y_true, y_pred):</w:t>
      </w:r>
      <w:r>
        <w:br/>
      </w:r>
      <w:r>
        <w:rPr>
          <w:rFonts w:ascii="Consolas" w:hAnsi="Consolas"/>
          <w:b w:val="0"/>
          <w:color w:val="333333"/>
          <w:sz w:val="18"/>
        </w:rPr>
        <w:t xml:space="preserve">    actual = np.asarray(y_true, dtype=float)</w:t>
      </w:r>
      <w:r>
        <w:br/>
      </w:r>
      <w:r>
        <w:rPr>
          <w:rFonts w:ascii="Consolas" w:hAnsi="Consolas"/>
          <w:b w:val="0"/>
          <w:color w:val="333333"/>
          <w:sz w:val="18"/>
        </w:rPr>
        <w:t xml:space="preserve">    predicted = np.asarray(y_pred, dtype=float)</w:t>
      </w:r>
      <w:r>
        <w:br/>
      </w:r>
      <w:r>
        <w:rPr>
          <w:rFonts w:ascii="Consolas" w:hAnsi="Consolas"/>
          <w:b w:val="0"/>
          <w:color w:val="333333"/>
          <w:sz w:val="18"/>
        </w:rPr>
        <w:t xml:space="preserve">    return np.sum(np.abs(actual - predicted)) / np.sum(np.abs(actual))</w:t>
      </w:r>
      <w:r>
        <w:br/>
      </w:r>
      <w:r>
        <w:rPr>
          <w:rFonts w:ascii="Consolas" w:hAnsi="Consolas"/>
          <w:b w:val="0"/>
          <w:color w:val="333333"/>
          <w:sz w:val="18"/>
        </w:rPr>
      </w:r>
      <w:r>
        <w:br/>
      </w:r>
      <w:r>
        <w:rPr>
          <w:rFonts w:ascii="Consolas" w:hAnsi="Consolas"/>
          <w:b w:val="0"/>
          <w:color w:val="333333"/>
          <w:sz w:val="18"/>
        </w:rPr>
        <w:t>assertiveness = 1 - wmape(y_true, y_pred)</w:t>
      </w:r>
    </w:p>
    <w:p>
      <w:pPr>
        <w:pStyle w:val="Heading2"/>
        <w:spacing w:before="300" w:after="150"/>
      </w:pPr>
      <w:r>
        <w:rPr>
          <w:rFonts w:ascii="Calibri" w:hAnsi="Calibri"/>
          <w:b/>
          <w:color w:val="2E74B5"/>
          <w:sz w:val="26"/>
        </w:rPr>
        <w:t>7.1 Referencia ingenua: fechamento de hoje</w:t>
      </w:r>
    </w:p>
    <w:p>
      <w:pPr>
        <w:spacing w:after="200" w:line="300" w:lineRule="auto"/>
        <w:jc w:val="both"/>
      </w:pPr>
      <w:r>
        <w:rPr>
          <w:rFonts w:ascii="Calibri" w:hAnsi="Calibri"/>
          <w:b w:val="0"/>
          <w:color w:val="1A1A1A"/>
          <w:sz w:val="22"/>
        </w:rPr>
        <w:t>O primeiro modelo testado foi o baseline Naive, ou persistencia: a previsao para amanha e simplesmente o fechamento de hoje. Em series financeiras de alta liquidez, esse baseline costuma ser muito competitivo em erro percentual, justamente porque a variacao diaria tende a ser pequena.</w:t>
      </w:r>
    </w:p>
    <w:p>
      <w:pPr>
        <w:spacing w:before="100" w:after="100" w:line="240" w:lineRule="auto"/>
      </w:pPr>
      <w:r>
        <w:rPr>
          <w:rFonts w:ascii="Consolas" w:hAnsi="Consolas"/>
          <w:b w:val="0"/>
          <w:color w:val="333333"/>
          <w:sz w:val="18"/>
        </w:rPr>
        <w:t>naive_pred = test_reg["fechamento"].values</w:t>
      </w:r>
      <w:r>
        <w:br/>
      </w:r>
      <w:r>
        <w:rPr>
          <w:rFonts w:ascii="Consolas" w:hAnsi="Consolas"/>
          <w:b w:val="0"/>
          <w:color w:val="333333"/>
          <w:sz w:val="18"/>
        </w:rPr>
        <w:t>naive_result = evaluate_predictions(</w:t>
      </w:r>
      <w:r>
        <w:br/>
      </w:r>
      <w:r>
        <w:rPr>
          <w:rFonts w:ascii="Consolas" w:hAnsi="Consolas"/>
          <w:b w:val="0"/>
          <w:color w:val="333333"/>
          <w:sz w:val="18"/>
        </w:rPr>
        <w:t xml:space="preserve">    "Naive - persistencia",</w:t>
      </w:r>
      <w:r>
        <w:br/>
      </w:r>
      <w:r>
        <w:rPr>
          <w:rFonts w:ascii="Consolas" w:hAnsi="Consolas"/>
          <w:b w:val="0"/>
          <w:color w:val="333333"/>
          <w:sz w:val="18"/>
        </w:rPr>
        <w:t xml:space="preserve">    y_true,</w:t>
      </w:r>
      <w:r>
        <w:br/>
      </w:r>
      <w:r>
        <w:rPr>
          <w:rFonts w:ascii="Consolas" w:hAnsi="Consolas"/>
          <w:b w:val="0"/>
          <w:color w:val="333333"/>
          <w:sz w:val="18"/>
        </w:rPr>
        <w:t xml:space="preserve">    naive_pred,</w:t>
      </w:r>
      <w:r>
        <w:br/>
      </w:r>
      <w:r>
        <w:rPr>
          <w:rFonts w:ascii="Consolas" w:hAnsi="Consolas"/>
          <w:b w:val="0"/>
          <w:color w:val="333333"/>
          <w:sz w:val="18"/>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cantSplit/>
        </w:trPr>
        <w:tc>
          <w:tcPr>
            <w:tcW w:type="dxa" w:w="2448"/>
            <w:vAlign w:val="center"/>
            <w:shd w:fill="F2F4F7"/>
            <w:tcMar>
              <w:top w:w="80" w:type="dxa"/>
              <w:start w:w="120" w:type="dxa"/>
              <w:bottom w:w="80" w:type="dxa"/>
              <w:end w:w="120" w:type="dxa"/>
            </w:tcMar>
          </w:tcPr>
          <w:p>
            <w:pPr>
              <w:jc w:val="center"/>
            </w:pPr>
            <w:r>
              <w:rPr>
                <w:rFonts w:ascii="Calibri" w:hAnsi="Calibri"/>
                <w:b/>
                <w:color w:val="1F4D78"/>
                <w:sz w:val="18"/>
              </w:rPr>
              <w:t>Metrica do baseline</w:t>
            </w:r>
          </w:p>
        </w:tc>
        <w:tc>
          <w:tcPr>
            <w:tcW w:type="dxa" w:w="2016"/>
            <w:vAlign w:val="center"/>
            <w:shd w:fill="F2F4F7"/>
            <w:tcMar>
              <w:top w:w="80" w:type="dxa"/>
              <w:start w:w="120" w:type="dxa"/>
              <w:bottom w:w="80" w:type="dxa"/>
              <w:end w:w="120" w:type="dxa"/>
            </w:tcMar>
          </w:tcPr>
          <w:p>
            <w:pPr>
              <w:jc w:val="center"/>
            </w:pPr>
            <w:r>
              <w:rPr>
                <w:rFonts w:ascii="Calibri" w:hAnsi="Calibri"/>
                <w:b/>
                <w:color w:val="1F4D78"/>
                <w:sz w:val="18"/>
              </w:rPr>
              <w:t>Resultado</w:t>
            </w:r>
          </w:p>
        </w:tc>
        <w:tc>
          <w:tcPr>
            <w:tcW w:type="dxa" w:w="4896"/>
            <w:vAlign w:val="center"/>
            <w:shd w:fill="F2F4F7"/>
            <w:tcMar>
              <w:top w:w="80" w:type="dxa"/>
              <w:start w:w="120" w:type="dxa"/>
              <w:bottom w:w="80" w:type="dxa"/>
              <w:end w:w="120" w:type="dxa"/>
            </w:tcMar>
          </w:tcPr>
          <w:p>
            <w:pPr>
              <w:jc w:val="center"/>
            </w:pPr>
            <w:r>
              <w:rPr>
                <w:rFonts w:ascii="Calibri" w:hAnsi="Calibri"/>
                <w:b/>
                <w:color w:val="1F4D78"/>
                <w:sz w:val="18"/>
              </w:rPr>
              <w:t>Leitura</w:t>
            </w:r>
          </w:p>
        </w:tc>
      </w:tr>
      <w:tr>
        <w:trPr>
          <w:cantSplit/>
        </w:trPr>
        <w:tc>
          <w:tcPr>
            <w:tcW w:type="dxa" w:w="2448"/>
            <w:vAlign w:val="center"/>
            <w:tcMar>
              <w:top w:w="80" w:type="dxa"/>
              <w:start w:w="120" w:type="dxa"/>
              <w:bottom w:w="80" w:type="dxa"/>
              <w:end w:w="120" w:type="dxa"/>
            </w:tcMar>
          </w:tcPr>
          <w:p>
            <w:pPr>
              <w:jc w:val="center"/>
            </w:pPr>
            <w:r>
              <w:rPr>
                <w:rFonts w:ascii="Calibri" w:hAnsi="Calibri"/>
                <w:b w:val="0"/>
                <w:color w:val="1A1A1A"/>
                <w:sz w:val="18"/>
              </w:rPr>
              <w:t>WMAPE</w:t>
            </w:r>
          </w:p>
        </w:tc>
        <w:tc>
          <w:tcPr>
            <w:tcW w:type="dxa" w:w="2016"/>
            <w:vAlign w:val="center"/>
            <w:tcMar>
              <w:top w:w="80" w:type="dxa"/>
              <w:start w:w="120" w:type="dxa"/>
              <w:bottom w:w="80" w:type="dxa"/>
              <w:end w:w="120" w:type="dxa"/>
            </w:tcMar>
          </w:tcPr>
          <w:p>
            <w:pPr>
              <w:jc w:val="center"/>
            </w:pPr>
            <w:r>
              <w:rPr>
                <w:rFonts w:ascii="Calibri" w:hAnsi="Calibri"/>
                <w:b w:val="0"/>
                <w:color w:val="1A1A1A"/>
                <w:sz w:val="18"/>
              </w:rPr>
              <w:t>0,93%</w:t>
            </w:r>
          </w:p>
        </w:tc>
        <w:tc>
          <w:tcPr>
            <w:tcW w:type="dxa" w:w="4896"/>
            <w:vAlign w:val="center"/>
            <w:tcMar>
              <w:top w:w="80" w:type="dxa"/>
              <w:start w:w="120" w:type="dxa"/>
              <w:bottom w:w="80" w:type="dxa"/>
              <w:end w:w="120" w:type="dxa"/>
            </w:tcMar>
          </w:tcPr>
          <w:p>
            <w:pPr>
              <w:jc w:val="left"/>
            </w:pPr>
            <w:r>
              <w:rPr>
                <w:rFonts w:ascii="Calibri" w:hAnsi="Calibri"/>
                <w:b w:val="0"/>
                <w:color w:val="1A1A1A"/>
                <w:sz w:val="18"/>
              </w:rPr>
              <w:t>Erro percentual ponderado muito baixo.</w:t>
            </w:r>
          </w:p>
        </w:tc>
      </w:tr>
      <w:tr>
        <w:trPr>
          <w:cantSplit/>
        </w:trPr>
        <w:tc>
          <w:tcPr>
            <w:tcW w:type="dxa" w:w="2448"/>
            <w:vAlign w:val="center"/>
            <w:tcMar>
              <w:top w:w="80" w:type="dxa"/>
              <w:start w:w="120" w:type="dxa"/>
              <w:bottom w:w="80" w:type="dxa"/>
              <w:end w:w="120" w:type="dxa"/>
            </w:tcMar>
          </w:tcPr>
          <w:p>
            <w:pPr>
              <w:jc w:val="center"/>
            </w:pPr>
            <w:r>
              <w:rPr>
                <w:rFonts w:ascii="Calibri" w:hAnsi="Calibri"/>
                <w:b w:val="0"/>
                <w:color w:val="1A1A1A"/>
                <w:sz w:val="18"/>
              </w:rPr>
              <w:t>Assertividade</w:t>
            </w:r>
          </w:p>
        </w:tc>
        <w:tc>
          <w:tcPr>
            <w:tcW w:type="dxa" w:w="2016"/>
            <w:vAlign w:val="center"/>
            <w:tcMar>
              <w:top w:w="80" w:type="dxa"/>
              <w:start w:w="120" w:type="dxa"/>
              <w:bottom w:w="80" w:type="dxa"/>
              <w:end w:w="120" w:type="dxa"/>
            </w:tcMar>
          </w:tcPr>
          <w:p>
            <w:pPr>
              <w:jc w:val="center"/>
            </w:pPr>
            <w:r>
              <w:rPr>
                <w:rFonts w:ascii="Calibri" w:hAnsi="Calibri"/>
                <w:b w:val="0"/>
                <w:color w:val="1A1A1A"/>
                <w:sz w:val="18"/>
              </w:rPr>
              <w:t>99,07%</w:t>
            </w:r>
          </w:p>
        </w:tc>
        <w:tc>
          <w:tcPr>
            <w:tcW w:type="dxa" w:w="4896"/>
            <w:vAlign w:val="center"/>
            <w:tcMar>
              <w:top w:w="80" w:type="dxa"/>
              <w:start w:w="120" w:type="dxa"/>
              <w:bottom w:w="80" w:type="dxa"/>
              <w:end w:w="120" w:type="dxa"/>
            </w:tcMar>
          </w:tcPr>
          <w:p>
            <w:pPr>
              <w:jc w:val="left"/>
            </w:pPr>
            <w:r>
              <w:rPr>
                <w:rFonts w:ascii="Calibri" w:hAnsi="Calibri"/>
                <w:b w:val="0"/>
                <w:color w:val="1A1A1A"/>
                <w:sz w:val="18"/>
              </w:rPr>
              <w:t>Acima da meta, mas baseada em regra ingenua.</w:t>
            </w:r>
          </w:p>
        </w:tc>
      </w:tr>
      <w:tr>
        <w:trPr>
          <w:cantSplit/>
        </w:trPr>
        <w:tc>
          <w:tcPr>
            <w:tcW w:type="dxa" w:w="2448"/>
            <w:vAlign w:val="center"/>
            <w:tcMar>
              <w:top w:w="80" w:type="dxa"/>
              <w:start w:w="120" w:type="dxa"/>
              <w:bottom w:w="80" w:type="dxa"/>
              <w:end w:w="120" w:type="dxa"/>
            </w:tcMar>
          </w:tcPr>
          <w:p>
            <w:pPr>
              <w:jc w:val="center"/>
            </w:pPr>
            <w:r>
              <w:rPr>
                <w:rFonts w:ascii="Calibri" w:hAnsi="Calibri"/>
                <w:b w:val="0"/>
                <w:color w:val="1A1A1A"/>
                <w:sz w:val="18"/>
              </w:rPr>
              <w:t>MAE</w:t>
            </w:r>
          </w:p>
        </w:tc>
        <w:tc>
          <w:tcPr>
            <w:tcW w:type="dxa" w:w="2016"/>
            <w:vAlign w:val="center"/>
            <w:tcMar>
              <w:top w:w="80" w:type="dxa"/>
              <w:start w:w="120" w:type="dxa"/>
              <w:bottom w:w="80" w:type="dxa"/>
              <w:end w:w="120" w:type="dxa"/>
            </w:tcMar>
          </w:tcPr>
          <w:p>
            <w:pPr>
              <w:jc w:val="center"/>
            </w:pPr>
            <w:r>
              <w:rPr>
                <w:rFonts w:ascii="Calibri" w:hAnsi="Calibri"/>
                <w:b w:val="0"/>
                <w:color w:val="1A1A1A"/>
                <w:sz w:val="18"/>
              </w:rPr>
              <w:t>1.678 pontos</w:t>
            </w:r>
          </w:p>
        </w:tc>
        <w:tc>
          <w:tcPr>
            <w:tcW w:type="dxa" w:w="4896"/>
            <w:vAlign w:val="center"/>
            <w:tcMar>
              <w:top w:w="80" w:type="dxa"/>
              <w:start w:w="120" w:type="dxa"/>
              <w:bottom w:w="80" w:type="dxa"/>
              <w:end w:w="120" w:type="dxa"/>
            </w:tcMar>
          </w:tcPr>
          <w:p>
            <w:pPr>
              <w:jc w:val="left"/>
            </w:pPr>
            <w:r>
              <w:rPr>
                <w:rFonts w:ascii="Calibri" w:hAnsi="Calibri"/>
                <w:b w:val="0"/>
                <w:color w:val="1A1A1A"/>
                <w:sz w:val="18"/>
              </w:rPr>
              <w:t>Erro medio absoluto em pontos do indice.</w:t>
            </w:r>
          </w:p>
        </w:tc>
      </w:tr>
      <w:tr>
        <w:trPr>
          <w:cantSplit/>
        </w:trPr>
        <w:tc>
          <w:tcPr>
            <w:tcW w:type="dxa" w:w="2448"/>
            <w:vAlign w:val="center"/>
            <w:tcMar>
              <w:top w:w="80" w:type="dxa"/>
              <w:start w:w="120" w:type="dxa"/>
              <w:bottom w:w="80" w:type="dxa"/>
              <w:end w:w="120" w:type="dxa"/>
            </w:tcMar>
          </w:tcPr>
          <w:p>
            <w:pPr>
              <w:jc w:val="center"/>
            </w:pPr>
            <w:r>
              <w:rPr>
                <w:rFonts w:ascii="Calibri" w:hAnsi="Calibri"/>
                <w:b w:val="0"/>
                <w:color w:val="1A1A1A"/>
                <w:sz w:val="18"/>
              </w:rPr>
              <w:t>Acerto 2,15%</w:t>
            </w:r>
          </w:p>
        </w:tc>
        <w:tc>
          <w:tcPr>
            <w:tcW w:type="dxa" w:w="2016"/>
            <w:vAlign w:val="center"/>
            <w:tcMar>
              <w:top w:w="80" w:type="dxa"/>
              <w:start w:w="120" w:type="dxa"/>
              <w:bottom w:w="80" w:type="dxa"/>
              <w:end w:w="120" w:type="dxa"/>
            </w:tcMar>
          </w:tcPr>
          <w:p>
            <w:pPr>
              <w:jc w:val="center"/>
            </w:pPr>
            <w:r>
              <w:rPr>
                <w:rFonts w:ascii="Calibri" w:hAnsi="Calibri"/>
                <w:b w:val="0"/>
                <w:color w:val="1A1A1A"/>
                <w:sz w:val="18"/>
              </w:rPr>
              <w:t>91,20%</w:t>
            </w:r>
          </w:p>
        </w:tc>
        <w:tc>
          <w:tcPr>
            <w:tcW w:type="dxa" w:w="4896"/>
            <w:vAlign w:val="center"/>
            <w:tcMar>
              <w:top w:w="80" w:type="dxa"/>
              <w:start w:w="120" w:type="dxa"/>
              <w:bottom w:w="80" w:type="dxa"/>
              <w:end w:w="120" w:type="dxa"/>
            </w:tcMar>
          </w:tcPr>
          <w:p>
            <w:pPr>
              <w:jc w:val="left"/>
            </w:pPr>
            <w:r>
              <w:rPr>
                <w:rFonts w:ascii="Calibri" w:hAnsi="Calibri"/>
                <w:b w:val="0"/>
                <w:color w:val="1A1A1A"/>
                <w:sz w:val="18"/>
              </w:rPr>
              <w:t>Referencia operacional para comparar modelos.</w:t>
            </w:r>
          </w:p>
        </w:tc>
      </w:tr>
    </w:tbl>
    <w:p/>
    <w:p>
      <w:pPr>
        <w:spacing w:after="200" w:line="300" w:lineRule="auto"/>
        <w:jc w:val="both"/>
      </w:pPr>
      <w:r>
        <w:rPr>
          <w:rFonts w:ascii="Calibri" w:hAnsi="Calibri"/>
          <w:b w:val="0"/>
          <w:color w:val="1A1A1A"/>
          <w:sz w:val="22"/>
        </w:rPr>
        <w:t>Esse baseline nao deve ser ignorado. Ele funciona como referencia minima: qualquer modelo mais sofisticado precisa ser comparado contra ele para que o resultado nao pareca melhor do que realmente e. Ao mesmo tempo, ele nao oferece estrutura estatistica, intervalo de confianca nem explicacao de comportamento da serie; ele apenas repete o ultimo fechamento conhecido.</w:t>
      </w:r>
    </w:p>
    <w:p>
      <w:pPr>
        <w:pStyle w:val="Heading2"/>
        <w:spacing w:before="300" w:after="150"/>
      </w:pPr>
      <w:r>
        <w:rPr>
          <w:rFonts w:ascii="Calibri" w:hAnsi="Calibri"/>
          <w:b/>
          <w:color w:val="2E74B5"/>
          <w:sz w:val="26"/>
        </w:rPr>
        <w:t>7.2 Racional estatistico para o ARIMA</w:t>
      </w:r>
    </w:p>
    <w:p>
      <w:pPr>
        <w:spacing w:after="200" w:line="300" w:lineRule="auto"/>
        <w:jc w:val="both"/>
      </w:pPr>
      <w:r>
        <w:rPr>
          <w:rFonts w:ascii="Calibri" w:hAnsi="Calibri"/>
          <w:b w:val="0"/>
          <w:color w:val="1A1A1A"/>
          <w:sz w:val="22"/>
        </w:rPr>
        <w:t>A escolha do ARIMA nao foi feita apenas por tentativa e erro. O teste ADF mostrou que a serie original nao e estacionaria, enquanto a primeira diferenca se torna estacionaria. Isso sustenta o termo integrado d=1. Os graficos de ACF e PACF indicam dependencia de curto prazo, coerente com uma especificacao ARIMA simples e interpretavel.</w:t>
      </w:r>
    </w:p>
    <w:tbl>
      <w:tblPr>
        <w:tblStyle w:val="TableGrid"/>
        <w:tblW w:type="auto" w:w="0"/>
        <w:jc w:val="center"/>
        <w:tblLayout w:type="fixed"/>
        <w:tblLook w:firstColumn="1" w:firstRow="1" w:lastColumn="0" w:lastRow="0" w:noHBand="0" w:noVBand="1" w:val="04A0"/>
      </w:tblPr>
      <w:tblGrid>
        <w:gridCol w:w="4680"/>
        <w:gridCol w:w="4680"/>
      </w:tblGrid>
      <w:tr>
        <w:trPr>
          <w:cantSplit/>
        </w:trPr>
        <w:tc>
          <w:tcPr>
            <w:tcW w:type="dxa" w:w="2880"/>
            <w:vAlign w:val="center"/>
            <w:shd w:fill="F2F4F7"/>
            <w:tcMar>
              <w:top w:w="80" w:type="dxa"/>
              <w:start w:w="120" w:type="dxa"/>
              <w:bottom w:w="80" w:type="dxa"/>
              <w:end w:w="120" w:type="dxa"/>
            </w:tcMar>
          </w:tcPr>
          <w:p>
            <w:pPr>
              <w:jc w:val="center"/>
            </w:pPr>
            <w:r>
              <w:rPr>
                <w:rFonts w:ascii="Calibri" w:hAnsi="Calibri"/>
                <w:b/>
                <w:color w:val="1F4D78"/>
                <w:sz w:val="18"/>
              </w:rPr>
              <w:t>Vantagem</w:t>
            </w:r>
          </w:p>
        </w:tc>
        <w:tc>
          <w:tcPr>
            <w:tcW w:type="dxa" w:w="6480"/>
            <w:vAlign w:val="center"/>
            <w:shd w:fill="F2F4F7"/>
            <w:tcMar>
              <w:top w:w="80" w:type="dxa"/>
              <w:start w:w="120" w:type="dxa"/>
              <w:bottom w:w="80" w:type="dxa"/>
              <w:end w:w="120" w:type="dxa"/>
            </w:tcMar>
          </w:tcPr>
          <w:p>
            <w:pPr>
              <w:jc w:val="center"/>
            </w:pPr>
            <w:r>
              <w:rPr>
                <w:rFonts w:ascii="Calibri" w:hAnsi="Calibri"/>
                <w:b/>
                <w:color w:val="1F4D78"/>
                <w:sz w:val="18"/>
              </w:rPr>
              <w:t>Por que importa neste projeto</w:t>
            </w:r>
          </w:p>
        </w:tc>
      </w:tr>
      <w:tr>
        <w:trPr>
          <w:cantSplit/>
        </w:trPr>
        <w:tc>
          <w:tcPr>
            <w:tcW w:type="dxa" w:w="2880"/>
            <w:vAlign w:val="center"/>
            <w:tcMar>
              <w:top w:w="80" w:type="dxa"/>
              <w:start w:w="120" w:type="dxa"/>
              <w:bottom w:w="80" w:type="dxa"/>
              <w:end w:w="120" w:type="dxa"/>
            </w:tcMar>
          </w:tcPr>
          <w:p>
            <w:pPr>
              <w:jc w:val="left"/>
            </w:pPr>
            <w:r>
              <w:rPr>
                <w:rFonts w:ascii="Calibri" w:hAnsi="Calibri"/>
                <w:b w:val="0"/>
                <w:color w:val="1A1A1A"/>
                <w:sz w:val="18"/>
              </w:rPr>
              <w:t>Fundamentacao estatistica</w:t>
            </w:r>
          </w:p>
        </w:tc>
        <w:tc>
          <w:tcPr>
            <w:tcW w:type="dxa" w:w="6480"/>
            <w:vAlign w:val="center"/>
            <w:tcMar>
              <w:top w:w="80" w:type="dxa"/>
              <w:start w:w="120" w:type="dxa"/>
              <w:bottom w:w="80" w:type="dxa"/>
              <w:end w:w="120" w:type="dxa"/>
            </w:tcMar>
          </w:tcPr>
          <w:p>
            <w:pPr>
              <w:jc w:val="left"/>
            </w:pPr>
            <w:r>
              <w:rPr>
                <w:rFonts w:ascii="Calibri" w:hAnsi="Calibri"/>
                <w:b w:val="0"/>
                <w:color w:val="1A1A1A"/>
                <w:sz w:val="18"/>
              </w:rPr>
              <w:t>A ordem do modelo e apoiada por ADF, ACF e PACF, tornando a decisao auditavel.</w:t>
            </w:r>
          </w:p>
        </w:tc>
      </w:tr>
      <w:tr>
        <w:trPr>
          <w:cantSplit/>
        </w:trPr>
        <w:tc>
          <w:tcPr>
            <w:tcW w:type="dxa" w:w="2880"/>
            <w:vAlign w:val="center"/>
            <w:tcMar>
              <w:top w:w="80" w:type="dxa"/>
              <w:start w:w="120" w:type="dxa"/>
              <w:bottom w:w="80" w:type="dxa"/>
              <w:end w:w="120" w:type="dxa"/>
            </w:tcMar>
          </w:tcPr>
          <w:p>
            <w:pPr>
              <w:jc w:val="center"/>
            </w:pPr>
            <w:r>
              <w:rPr>
                <w:rFonts w:ascii="Calibri" w:hAnsi="Calibri"/>
                <w:b w:val="0"/>
                <w:color w:val="1A1A1A"/>
                <w:sz w:val="18"/>
              </w:rPr>
              <w:t>Interpretabilidade</w:t>
            </w:r>
          </w:p>
        </w:tc>
        <w:tc>
          <w:tcPr>
            <w:tcW w:type="dxa" w:w="6480"/>
            <w:vAlign w:val="center"/>
            <w:tcMar>
              <w:top w:w="80" w:type="dxa"/>
              <w:start w:w="120" w:type="dxa"/>
              <w:bottom w:w="80" w:type="dxa"/>
              <w:end w:w="120" w:type="dxa"/>
            </w:tcMar>
          </w:tcPr>
          <w:p>
            <w:pPr>
              <w:jc w:val="left"/>
            </w:pPr>
            <w:r>
              <w:rPr>
                <w:rFonts w:ascii="Calibri" w:hAnsi="Calibri"/>
                <w:b w:val="0"/>
                <w:color w:val="1A1A1A"/>
                <w:sz w:val="18"/>
              </w:rPr>
              <w:t>Os componentes autorregressivo e integrado sao explicaveis para uma banca tecnica.</w:t>
            </w:r>
          </w:p>
        </w:tc>
      </w:tr>
      <w:tr>
        <w:trPr>
          <w:cantSplit/>
        </w:trPr>
        <w:tc>
          <w:tcPr>
            <w:tcW w:type="dxa" w:w="2880"/>
            <w:vAlign w:val="center"/>
            <w:tcMar>
              <w:top w:w="80" w:type="dxa"/>
              <w:start w:w="120" w:type="dxa"/>
              <w:bottom w:w="80" w:type="dxa"/>
              <w:end w:w="120" w:type="dxa"/>
            </w:tcMar>
          </w:tcPr>
          <w:p>
            <w:pPr>
              <w:jc w:val="left"/>
            </w:pPr>
            <w:r>
              <w:rPr>
                <w:rFonts w:ascii="Calibri" w:hAnsi="Calibri"/>
                <w:b w:val="0"/>
                <w:color w:val="1A1A1A"/>
                <w:sz w:val="18"/>
              </w:rPr>
              <w:t>Intervalo de confianca</w:t>
            </w:r>
          </w:p>
        </w:tc>
        <w:tc>
          <w:tcPr>
            <w:tcW w:type="dxa" w:w="6480"/>
            <w:vAlign w:val="center"/>
            <w:tcMar>
              <w:top w:w="80" w:type="dxa"/>
              <w:start w:w="120" w:type="dxa"/>
              <w:bottom w:w="80" w:type="dxa"/>
              <w:end w:w="120" w:type="dxa"/>
            </w:tcMar>
          </w:tcPr>
          <w:p>
            <w:pPr>
              <w:jc w:val="left"/>
            </w:pPr>
            <w:r>
              <w:rPr>
                <w:rFonts w:ascii="Calibri" w:hAnsi="Calibri"/>
                <w:b w:val="0"/>
                <w:color w:val="1A1A1A"/>
                <w:sz w:val="18"/>
              </w:rPr>
              <w:t>A previsao traz faixa de incerteza, algo essencial em series financeiras.</w:t>
            </w:r>
          </w:p>
        </w:tc>
      </w:tr>
      <w:tr>
        <w:trPr>
          <w:cantSplit/>
        </w:trPr>
        <w:tc>
          <w:tcPr>
            <w:tcW w:type="dxa" w:w="2880"/>
            <w:vAlign w:val="center"/>
            <w:tcMar>
              <w:top w:w="80" w:type="dxa"/>
              <w:start w:w="120" w:type="dxa"/>
              <w:bottom w:w="80" w:type="dxa"/>
              <w:end w:w="120" w:type="dxa"/>
            </w:tcMar>
          </w:tcPr>
          <w:p>
            <w:pPr>
              <w:jc w:val="left"/>
            </w:pPr>
            <w:r>
              <w:rPr>
                <w:rFonts w:ascii="Calibri" w:hAnsi="Calibri"/>
                <w:b w:val="0"/>
                <w:color w:val="1A1A1A"/>
                <w:sz w:val="18"/>
              </w:rPr>
              <w:t>Baixo custo computacional</w:t>
            </w:r>
          </w:p>
        </w:tc>
        <w:tc>
          <w:tcPr>
            <w:tcW w:type="dxa" w:w="6480"/>
            <w:vAlign w:val="center"/>
            <w:tcMar>
              <w:top w:w="80" w:type="dxa"/>
              <w:start w:w="120" w:type="dxa"/>
              <w:bottom w:w="80" w:type="dxa"/>
              <w:end w:w="120" w:type="dxa"/>
            </w:tcMar>
          </w:tcPr>
          <w:p>
            <w:pPr>
              <w:jc w:val="left"/>
            </w:pPr>
            <w:r>
              <w:rPr>
                <w:rFonts w:ascii="Calibri" w:hAnsi="Calibri"/>
                <w:b w:val="0"/>
                <w:color w:val="1A1A1A"/>
                <w:sz w:val="18"/>
              </w:rPr>
              <w:t>Funciona bem com uma unica serie historica de cerca de 4 mil pregoes.</w:t>
            </w:r>
          </w:p>
        </w:tc>
      </w:tr>
      <w:tr>
        <w:trPr>
          <w:cantSplit/>
        </w:trPr>
        <w:tc>
          <w:tcPr>
            <w:tcW w:type="dxa" w:w="2880"/>
            <w:vAlign w:val="center"/>
            <w:tcMar>
              <w:top w:w="80" w:type="dxa"/>
              <w:start w:w="120" w:type="dxa"/>
              <w:bottom w:w="80" w:type="dxa"/>
              <w:end w:w="120" w:type="dxa"/>
            </w:tcMar>
          </w:tcPr>
          <w:p>
            <w:pPr>
              <w:jc w:val="center"/>
            </w:pPr>
            <w:r>
              <w:rPr>
                <w:rFonts w:ascii="Calibri" w:hAnsi="Calibri"/>
                <w:b w:val="0"/>
                <w:color w:val="1A1A1A"/>
                <w:sz w:val="18"/>
              </w:rPr>
              <w:t>Extensibilidade</w:t>
            </w:r>
          </w:p>
        </w:tc>
        <w:tc>
          <w:tcPr>
            <w:tcW w:type="dxa" w:w="6480"/>
            <w:vAlign w:val="center"/>
            <w:tcMar>
              <w:top w:w="80" w:type="dxa"/>
              <w:start w:w="120" w:type="dxa"/>
              <w:bottom w:w="80" w:type="dxa"/>
              <w:end w:w="120" w:type="dxa"/>
            </w:tcMar>
          </w:tcPr>
          <w:p>
            <w:pPr>
              <w:jc w:val="left"/>
            </w:pPr>
            <w:r>
              <w:rPr>
                <w:rFonts w:ascii="Calibri" w:hAnsi="Calibri"/>
                <w:b w:val="0"/>
                <w:color w:val="1A1A1A"/>
                <w:sz w:val="18"/>
              </w:rPr>
              <w:t>Pode evoluir para SARIMAX com Selic, cambio ou indices externos como variaveis exogenas.</w:t>
            </w:r>
          </w:p>
        </w:tc>
      </w:tr>
    </w:tbl>
    <w:p/>
    <w:p>
      <w:pPr>
        <w:pStyle w:val="Heading2"/>
        <w:spacing w:before="300" w:after="150"/>
      </w:pPr>
      <w:r>
        <w:rPr>
          <w:rFonts w:ascii="Calibri" w:hAnsi="Calibri"/>
          <w:b/>
          <w:color w:val="2E74B5"/>
          <w:sz w:val="26"/>
        </w:rPr>
        <w:t>7.3 Validacao walk-forward</w:t>
      </w:r>
    </w:p>
    <w:p>
      <w:pPr>
        <w:spacing w:after="200" w:line="300" w:lineRule="auto"/>
        <w:jc w:val="both"/>
      </w:pPr>
      <w:r>
        <w:rPr>
          <w:rFonts w:ascii="Calibri" w:hAnsi="Calibri"/>
          <w:b w:val="0"/>
          <w:color w:val="1A1A1A"/>
          <w:sz w:val="22"/>
        </w:rPr>
        <w:t>Na avaliacao walk-forward, o modelo e recalibrado a cada passo com o fechamento real observado no periodo de teste. Isso aproxima a avaliacao de um uso pratico: no fim de cada pregao, o historico e atualizado e uma nova previsao e gerada.</w:t>
      </w:r>
    </w:p>
    <w:p>
      <w:pPr>
        <w:spacing w:before="100" w:after="100" w:line="240" w:lineRule="auto"/>
      </w:pPr>
      <w:r>
        <w:rPr>
          <w:rFonts w:ascii="Consolas" w:hAnsi="Consolas"/>
          <w:b w:val="0"/>
          <w:color w:val="333333"/>
          <w:sz w:val="18"/>
        </w:rPr>
        <w:t>history = list(train["fechamento"].values)</w:t>
      </w:r>
      <w:r>
        <w:br/>
      </w:r>
      <w:r>
        <w:rPr>
          <w:rFonts w:ascii="Consolas" w:hAnsi="Consolas"/>
          <w:b w:val="0"/>
          <w:color w:val="333333"/>
          <w:sz w:val="18"/>
        </w:rPr>
        <w:t>predictions = []</w:t>
      </w:r>
      <w:r>
        <w:br/>
      </w:r>
      <w:r>
        <w:rPr>
          <w:rFonts w:ascii="Consolas" w:hAnsi="Consolas"/>
          <w:b w:val="0"/>
          <w:color w:val="333333"/>
          <w:sz w:val="18"/>
        </w:rPr>
        <w:t>for actual_close in test["fechamento"].values:</w:t>
      </w:r>
      <w:r>
        <w:br/>
      </w:r>
      <w:r>
        <w:rPr>
          <w:rFonts w:ascii="Consolas" w:hAnsi="Consolas"/>
          <w:b w:val="0"/>
          <w:color w:val="333333"/>
          <w:sz w:val="18"/>
        </w:rPr>
        <w:t xml:space="preserve">    history.append(actual_close)</w:t>
      </w:r>
      <w:r>
        <w:br/>
      </w:r>
      <w:r>
        <w:rPr>
          <w:rFonts w:ascii="Consolas" w:hAnsi="Consolas"/>
          <w:b w:val="0"/>
          <w:color w:val="333333"/>
          <w:sz w:val="18"/>
        </w:rPr>
        <w:t xml:space="preserve">    model = ARIMA(history, order=(5, 1, 0)).fit()</w:t>
      </w:r>
      <w:r>
        <w:br/>
      </w:r>
      <w:r>
        <w:rPr>
          <w:rFonts w:ascii="Consolas" w:hAnsi="Consolas"/>
          <w:b w:val="0"/>
          <w:color w:val="333333"/>
          <w:sz w:val="18"/>
        </w:rPr>
        <w:t xml:space="preserve">    predictions.append(float(model.forecast(steps=1)[0]))</w:t>
      </w:r>
    </w:p>
    <w:p>
      <w:pPr>
        <w:pStyle w:val="Heading2"/>
        <w:spacing w:before="300" w:after="150"/>
      </w:pPr>
      <w:r>
        <w:rPr>
          <w:rFonts w:ascii="Calibri" w:hAnsi="Calibri"/>
          <w:b/>
          <w:color w:val="2E74B5"/>
          <w:sz w:val="26"/>
        </w:rPr>
        <w:t>7.4 Resultado comparativo</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cantSplit/>
        </w:trPr>
        <w:tc>
          <w:tcPr>
            <w:tcW w:type="dxa" w:w="3168"/>
            <w:vAlign w:val="center"/>
            <w:shd w:fill="F2F4F7"/>
            <w:tcMar>
              <w:top w:w="80" w:type="dxa"/>
              <w:start w:w="120" w:type="dxa"/>
              <w:bottom w:w="80" w:type="dxa"/>
              <w:end w:w="120" w:type="dxa"/>
            </w:tcMar>
          </w:tcPr>
          <w:p>
            <w:pPr>
              <w:jc w:val="center"/>
            </w:pPr>
            <w:r>
              <w:rPr>
                <w:rFonts w:ascii="Calibri" w:hAnsi="Calibri"/>
                <w:b/>
                <w:color w:val="1F4D78"/>
                <w:sz w:val="18"/>
              </w:rPr>
              <w:t>Modelo</w:t>
            </w:r>
          </w:p>
        </w:tc>
        <w:tc>
          <w:tcPr>
            <w:tcW w:type="dxa" w:w="1440"/>
            <w:vAlign w:val="center"/>
            <w:shd w:fill="F2F4F7"/>
            <w:tcMar>
              <w:top w:w="80" w:type="dxa"/>
              <w:start w:w="120" w:type="dxa"/>
              <w:bottom w:w="80" w:type="dxa"/>
              <w:end w:w="120" w:type="dxa"/>
            </w:tcMar>
          </w:tcPr>
          <w:p>
            <w:pPr>
              <w:jc w:val="center"/>
            </w:pPr>
            <w:r>
              <w:rPr>
                <w:rFonts w:ascii="Calibri" w:hAnsi="Calibri"/>
                <w:b/>
                <w:color w:val="1F4D78"/>
                <w:sz w:val="18"/>
              </w:rPr>
              <w:t>WMAPE</w:t>
            </w:r>
          </w:p>
        </w:tc>
        <w:tc>
          <w:tcPr>
            <w:tcW w:type="dxa" w:w="1584"/>
            <w:vAlign w:val="center"/>
            <w:shd w:fill="F2F4F7"/>
            <w:tcMar>
              <w:top w:w="80" w:type="dxa"/>
              <w:start w:w="120" w:type="dxa"/>
              <w:bottom w:w="80" w:type="dxa"/>
              <w:end w:w="120" w:type="dxa"/>
            </w:tcMar>
          </w:tcPr>
          <w:p>
            <w:pPr>
              <w:jc w:val="center"/>
            </w:pPr>
            <w:r>
              <w:rPr>
                <w:rFonts w:ascii="Calibri" w:hAnsi="Calibri"/>
                <w:b/>
                <w:color w:val="1F4D78"/>
                <w:sz w:val="18"/>
              </w:rPr>
              <w:t>Assertividade</w:t>
            </w:r>
          </w:p>
        </w:tc>
        <w:tc>
          <w:tcPr>
            <w:tcW w:type="dxa" w:w="1584"/>
            <w:vAlign w:val="center"/>
            <w:shd w:fill="F2F4F7"/>
            <w:tcMar>
              <w:top w:w="80" w:type="dxa"/>
              <w:start w:w="120" w:type="dxa"/>
              <w:bottom w:w="80" w:type="dxa"/>
              <w:end w:w="120" w:type="dxa"/>
            </w:tcMar>
          </w:tcPr>
          <w:p>
            <w:pPr>
              <w:jc w:val="center"/>
            </w:pPr>
            <w:r>
              <w:rPr>
                <w:rFonts w:ascii="Calibri" w:hAnsi="Calibri"/>
                <w:b/>
                <w:color w:val="1F4D78"/>
                <w:sz w:val="18"/>
              </w:rPr>
              <w:t>MAE</w:t>
            </w:r>
          </w:p>
        </w:tc>
        <w:tc>
          <w:tcPr>
            <w:tcW w:type="dxa" w:w="1584"/>
            <w:vAlign w:val="center"/>
            <w:shd w:fill="F2F4F7"/>
            <w:tcMar>
              <w:top w:w="80" w:type="dxa"/>
              <w:start w:w="120" w:type="dxa"/>
              <w:bottom w:w="80" w:type="dxa"/>
              <w:end w:w="120" w:type="dxa"/>
            </w:tcMar>
          </w:tcPr>
          <w:p>
            <w:pPr>
              <w:jc w:val="center"/>
            </w:pPr>
            <w:r>
              <w:rPr>
                <w:rFonts w:ascii="Calibri" w:hAnsi="Calibri"/>
                <w:b/>
                <w:color w:val="1F4D78"/>
                <w:sz w:val="18"/>
              </w:rPr>
              <w:t>Acerto 2,15%</w:t>
            </w:r>
          </w:p>
        </w:tc>
      </w:tr>
      <w:tr>
        <w:trPr>
          <w:cantSplit/>
        </w:trPr>
        <w:tc>
          <w:tcPr>
            <w:tcW w:type="dxa" w:w="3168"/>
            <w:vAlign w:val="center"/>
            <w:tcMar>
              <w:top w:w="80" w:type="dxa"/>
              <w:start w:w="120" w:type="dxa"/>
              <w:bottom w:w="80" w:type="dxa"/>
              <w:end w:w="120" w:type="dxa"/>
            </w:tcMar>
          </w:tcPr>
          <w:p>
            <w:pPr>
              <w:jc w:val="left"/>
            </w:pPr>
            <w:r>
              <w:rPr>
                <w:rFonts w:ascii="Calibri" w:hAnsi="Calibri"/>
                <w:b w:val="0"/>
                <w:color w:val="1A1A1A"/>
                <w:sz w:val="18"/>
              </w:rPr>
              <w:t>ARIMA(5,1,0) walk-forward</w:t>
            </w:r>
          </w:p>
        </w:tc>
        <w:tc>
          <w:tcPr>
            <w:tcW w:type="dxa" w:w="1440"/>
            <w:vAlign w:val="center"/>
            <w:tcMar>
              <w:top w:w="80" w:type="dxa"/>
              <w:start w:w="120" w:type="dxa"/>
              <w:bottom w:w="80" w:type="dxa"/>
              <w:end w:w="120" w:type="dxa"/>
            </w:tcMar>
          </w:tcPr>
          <w:p>
            <w:pPr>
              <w:jc w:val="center"/>
            </w:pPr>
            <w:r>
              <w:rPr>
                <w:rFonts w:ascii="Calibri" w:hAnsi="Calibri"/>
                <w:b w:val="0"/>
                <w:color w:val="1A1A1A"/>
                <w:sz w:val="18"/>
              </w:rPr>
              <w:t>0,93%</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99,07%</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1.681 pontos</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92,00%</w:t>
            </w:r>
          </w:p>
        </w:tc>
      </w:tr>
      <w:tr>
        <w:trPr>
          <w:cantSplit/>
        </w:trPr>
        <w:tc>
          <w:tcPr>
            <w:tcW w:type="dxa" w:w="3168"/>
            <w:vAlign w:val="center"/>
            <w:tcMar>
              <w:top w:w="80" w:type="dxa"/>
              <w:start w:w="120" w:type="dxa"/>
              <w:bottom w:w="80" w:type="dxa"/>
              <w:end w:w="120" w:type="dxa"/>
            </w:tcMar>
          </w:tcPr>
          <w:p>
            <w:pPr>
              <w:jc w:val="left"/>
            </w:pPr>
            <w:r>
              <w:rPr>
                <w:rFonts w:ascii="Calibri" w:hAnsi="Calibri"/>
                <w:b w:val="0"/>
                <w:color w:val="1A1A1A"/>
                <w:sz w:val="18"/>
              </w:rPr>
              <w:t>Naive - persistencia</w:t>
            </w:r>
          </w:p>
        </w:tc>
        <w:tc>
          <w:tcPr>
            <w:tcW w:type="dxa" w:w="1440"/>
            <w:vAlign w:val="center"/>
            <w:tcMar>
              <w:top w:w="80" w:type="dxa"/>
              <w:start w:w="120" w:type="dxa"/>
              <w:bottom w:w="80" w:type="dxa"/>
              <w:end w:w="120" w:type="dxa"/>
            </w:tcMar>
          </w:tcPr>
          <w:p>
            <w:pPr>
              <w:jc w:val="center"/>
            </w:pPr>
            <w:r>
              <w:rPr>
                <w:rFonts w:ascii="Calibri" w:hAnsi="Calibri"/>
                <w:b w:val="0"/>
                <w:color w:val="1A1A1A"/>
                <w:sz w:val="18"/>
              </w:rPr>
              <w:t>0,93%</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99,07%</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1.678 pontos</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91,20%</w:t>
            </w:r>
          </w:p>
        </w:tc>
      </w:tr>
      <w:tr>
        <w:trPr>
          <w:cantSplit/>
        </w:trPr>
        <w:tc>
          <w:tcPr>
            <w:tcW w:type="dxa" w:w="3168"/>
            <w:vAlign w:val="center"/>
            <w:tcMar>
              <w:top w:w="80" w:type="dxa"/>
              <w:start w:w="120" w:type="dxa"/>
              <w:bottom w:w="80" w:type="dxa"/>
              <w:end w:w="120" w:type="dxa"/>
            </w:tcMar>
          </w:tcPr>
          <w:p>
            <w:pPr>
              <w:jc w:val="left"/>
            </w:pPr>
            <w:r>
              <w:rPr>
                <w:rFonts w:ascii="Calibri" w:hAnsi="Calibri"/>
                <w:b w:val="0"/>
                <w:color w:val="1A1A1A"/>
                <w:sz w:val="18"/>
              </w:rPr>
              <w:t>ARIMA(5,1,0) estatico</w:t>
            </w:r>
          </w:p>
        </w:tc>
        <w:tc>
          <w:tcPr>
            <w:tcW w:type="dxa" w:w="1440"/>
            <w:vAlign w:val="center"/>
            <w:tcMar>
              <w:top w:w="80" w:type="dxa"/>
              <w:start w:w="120" w:type="dxa"/>
              <w:bottom w:w="80" w:type="dxa"/>
              <w:end w:w="120" w:type="dxa"/>
            </w:tcMar>
          </w:tcPr>
          <w:p>
            <w:pPr>
              <w:jc w:val="center"/>
            </w:pPr>
            <w:r>
              <w:rPr>
                <w:rFonts w:ascii="Calibri" w:hAnsi="Calibri"/>
                <w:b w:val="0"/>
                <w:color w:val="1A1A1A"/>
                <w:sz w:val="18"/>
              </w:rPr>
              <w:t>3,75%</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96,25%</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6.787 pontos</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28,00%</w:t>
            </w:r>
          </w:p>
        </w:tc>
      </w:tr>
    </w:tbl>
    <w:p/>
    <w:p>
      <w:pPr>
        <w:jc w:val="center"/>
      </w:pPr>
      <w:r>
        <w:drawing>
          <wp:inline xmlns:a="http://schemas.openxmlformats.org/drawingml/2006/main" xmlns:pic="http://schemas.openxmlformats.org/drawingml/2006/picture">
            <wp:extent cx="5669280" cy="1909474"/>
            <wp:docPr id="5" name="Picture 5"/>
            <wp:cNvGraphicFramePr>
              <a:graphicFrameLocks noChangeAspect="1"/>
            </wp:cNvGraphicFramePr>
            <a:graphic>
              <a:graphicData uri="http://schemas.openxmlformats.org/drawingml/2006/picture">
                <pic:pic>
                  <pic:nvPicPr>
                    <pic:cNvPr id="0" name="05_real_vs_previsto.png"/>
                    <pic:cNvPicPr/>
                  </pic:nvPicPr>
                  <pic:blipFill>
                    <a:blip r:embed="rId14"/>
                    <a:stretch>
                      <a:fillRect/>
                    </a:stretch>
                  </pic:blipFill>
                  <pic:spPr>
                    <a:xfrm>
                      <a:off x="0" y="0"/>
                      <a:ext cx="5669280" cy="1909474"/>
                    </a:xfrm>
                    <a:prstGeom prst="rect"/>
                  </pic:spPr>
                </pic:pic>
              </a:graphicData>
            </a:graphic>
          </wp:inline>
        </w:drawing>
      </w:r>
    </w:p>
    <w:p>
      <w:pPr>
        <w:jc w:val="center"/>
      </w:pPr>
      <w:r>
        <w:rPr>
          <w:rFonts w:ascii="Calibri" w:hAnsi="Calibri"/>
          <w:b w:val="0"/>
          <w:color w:val="666666"/>
          <w:sz w:val="18"/>
        </w:rPr>
        <w:t>Figura 5 - Fechamento real versus previsoes no periodo de teste.</w:t>
      </w:r>
    </w:p>
    <w:p>
      <w:pPr>
        <w:jc w:val="center"/>
      </w:pPr>
      <w:r>
        <w:drawing>
          <wp:inline xmlns:a="http://schemas.openxmlformats.org/drawingml/2006/main" xmlns:pic="http://schemas.openxmlformats.org/drawingml/2006/picture">
            <wp:extent cx="5669280" cy="2362200"/>
            <wp:docPr id="6" name="Picture 6"/>
            <wp:cNvGraphicFramePr>
              <a:graphicFrameLocks noChangeAspect="1"/>
            </wp:cNvGraphicFramePr>
            <a:graphic>
              <a:graphicData uri="http://schemas.openxmlformats.org/drawingml/2006/picture">
                <pic:pic>
                  <pic:nvPicPr>
                    <pic:cNvPr id="0" name="09_erro_no_tempo_arima.png"/>
                    <pic:cNvPicPr/>
                  </pic:nvPicPr>
                  <pic:blipFill>
                    <a:blip r:embed="rId15"/>
                    <a:stretch>
                      <a:fillRect/>
                    </a:stretch>
                  </pic:blipFill>
                  <pic:spPr>
                    <a:xfrm>
                      <a:off x="0" y="0"/>
                      <a:ext cx="5669280" cy="2362200"/>
                    </a:xfrm>
                    <a:prstGeom prst="rect"/>
                  </pic:spPr>
                </pic:pic>
              </a:graphicData>
            </a:graphic>
          </wp:inline>
        </w:drawing>
      </w:r>
    </w:p>
    <w:p>
      <w:pPr>
        <w:jc w:val="center"/>
      </w:pPr>
      <w:r>
        <w:rPr>
          <w:rFonts w:ascii="Calibri" w:hAnsi="Calibri"/>
          <w:b w:val="0"/>
          <w:color w:val="666666"/>
          <w:sz w:val="18"/>
        </w:rPr>
        <w:t>Figura 6 - Erro percentual do ARIMA walk-forward ao longo do periodo de teste.</w:t>
      </w:r>
    </w:p>
    <w:p>
      <w:r>
        <w:br w:type="page"/>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60"/>
            </w:pPr>
            <w:r>
              <w:rPr>
                <w:rFonts w:ascii="Calibri" w:hAnsi="Calibri"/>
                <w:b/>
                <w:color w:val="1F7A4D"/>
                <w:sz w:val="22"/>
              </w:rPr>
              <w:t>Modelo escolhido</w:t>
            </w:r>
          </w:p>
          <w:p>
            <w:pPr>
              <w:spacing w:after="0"/>
            </w:pPr>
            <w:r>
              <w:rPr>
                <w:rFonts w:ascii="Calibri" w:hAnsi="Calibri"/>
                <w:b w:val="0"/>
                <w:color w:val="1A1A1A"/>
                <w:sz w:val="20"/>
              </w:rPr>
              <w:t>O ARIMA(5,1,0) walk-forward foi escolhido para a narrativa principal por respeitar a estrutura temporal e atingir 99,07% de assertividade por 1 - WMAPE, alem de 92,00% de acerto dentro da faixa de 2,15%.</w:t>
            </w:r>
          </w:p>
        </w:tc>
      </w:tr>
    </w:tbl>
    <w:p/>
    <w:p>
      <w:pPr>
        <w:pStyle w:val="Heading2"/>
        <w:spacing w:before="300" w:after="150"/>
      </w:pPr>
      <w:r>
        <w:rPr>
          <w:rFonts w:ascii="Calibri" w:hAnsi="Calibri"/>
          <w:b/>
          <w:color w:val="2E74B5"/>
          <w:sz w:val="26"/>
        </w:rPr>
        <w:t>7.5 Regressao com atributos tecnicos</w:t>
      </w:r>
    </w:p>
    <w:p>
      <w:pPr>
        <w:spacing w:after="200" w:line="300" w:lineRule="auto"/>
        <w:jc w:val="both"/>
      </w:pPr>
      <w:r>
        <w:rPr>
          <w:rFonts w:ascii="Calibri" w:hAnsi="Calibri"/>
          <w:b w:val="0"/>
          <w:color w:val="1A1A1A"/>
          <w:sz w:val="22"/>
        </w:rPr>
        <w:t>Como contraponto ao ARIMA, foram testados modelos de regressao supervisionada com os 37 atributos tecnicos construidos na etapa de engenharia. A ideia foi verificar se sinais de retorno, volatilidade, medias moveis, candle, volume e calendario melhorariam a previsao do fechamento seguinte.</w:t>
      </w:r>
    </w:p>
    <w:p>
      <w:pPr>
        <w:spacing w:before="100" w:after="100" w:line="240" w:lineRule="auto"/>
      </w:pPr>
      <w:r>
        <w:rPr>
          <w:rFonts w:ascii="Consolas" w:hAnsi="Consolas"/>
          <w:b w:val="0"/>
          <w:color w:val="333333"/>
          <w:sz w:val="18"/>
        </w:rPr>
        <w:t>lin_reg = Pipeline([</w:t>
      </w:r>
      <w:r>
        <w:br/>
      </w:r>
      <w:r>
        <w:rPr>
          <w:rFonts w:ascii="Consolas" w:hAnsi="Consolas"/>
          <w:b w:val="0"/>
          <w:color w:val="333333"/>
          <w:sz w:val="18"/>
        </w:rPr>
        <w:t xml:space="preserve">    ("scaler", StandardScaler()),</w:t>
      </w:r>
      <w:r>
        <w:br/>
      </w:r>
      <w:r>
        <w:rPr>
          <w:rFonts w:ascii="Consolas" w:hAnsi="Consolas"/>
          <w:b w:val="0"/>
          <w:color w:val="333333"/>
          <w:sz w:val="18"/>
        </w:rPr>
        <w:t xml:space="preserve">    ("model", LinearRegression()),</w:t>
      </w:r>
      <w:r>
        <w:br/>
      </w:r>
      <w:r>
        <w:rPr>
          <w:rFonts w:ascii="Consolas" w:hAnsi="Consolas"/>
          <w:b w:val="0"/>
          <w:color w:val="333333"/>
          <w:sz w:val="18"/>
        </w:rPr>
        <w:t>])</w:t>
      </w:r>
      <w:r>
        <w:br/>
      </w:r>
      <w:r>
        <w:rPr>
          <w:rFonts w:ascii="Consolas" w:hAnsi="Consolas"/>
          <w:b w:val="0"/>
          <w:color w:val="333333"/>
          <w:sz w:val="18"/>
        </w:rPr>
        <w:t>lin_reg.fit(x_train, y_train)</w:t>
      </w:r>
      <w:r>
        <w:br/>
      </w:r>
      <w:r>
        <w:rPr>
          <w:rFonts w:ascii="Consolas" w:hAnsi="Consolas"/>
          <w:b w:val="0"/>
          <w:color w:val="333333"/>
          <w:sz w:val="18"/>
        </w:rPr>
      </w:r>
      <w:r>
        <w:br/>
      </w:r>
      <w:r>
        <w:rPr>
          <w:rFonts w:ascii="Consolas" w:hAnsi="Consolas"/>
          <w:b w:val="0"/>
          <w:color w:val="333333"/>
          <w:sz w:val="18"/>
        </w:rPr>
        <w:t>rf_reg = RandomForestRegressor(</w:t>
      </w:r>
      <w:r>
        <w:br/>
      </w:r>
      <w:r>
        <w:rPr>
          <w:rFonts w:ascii="Consolas" w:hAnsi="Consolas"/>
          <w:b w:val="0"/>
          <w:color w:val="333333"/>
          <w:sz w:val="18"/>
        </w:rPr>
        <w:t xml:space="preserve">    n_estimators=300,</w:t>
      </w:r>
      <w:r>
        <w:br/>
      </w:r>
      <w:r>
        <w:rPr>
          <w:rFonts w:ascii="Consolas" w:hAnsi="Consolas"/>
          <w:b w:val="0"/>
          <w:color w:val="333333"/>
          <w:sz w:val="18"/>
        </w:rPr>
        <w:t xml:space="preserve">    max_depth=6,</w:t>
      </w:r>
      <w:r>
        <w:br/>
      </w:r>
      <w:r>
        <w:rPr>
          <w:rFonts w:ascii="Consolas" w:hAnsi="Consolas"/>
          <w:b w:val="0"/>
          <w:color w:val="333333"/>
          <w:sz w:val="18"/>
        </w:rPr>
        <w:t xml:space="preserve">    min_samples_leaf=10,</w:t>
      </w:r>
      <w:r>
        <w:br/>
      </w:r>
      <w:r>
        <w:rPr>
          <w:rFonts w:ascii="Consolas" w:hAnsi="Consolas"/>
          <w:b w:val="0"/>
          <w:color w:val="333333"/>
          <w:sz w:val="18"/>
        </w:rPr>
        <w:t xml:space="preserve">    random_state=42,</w:t>
      </w:r>
      <w:r>
        <w:br/>
      </w:r>
      <w:r>
        <w:rPr>
          <w:rFonts w:ascii="Consolas" w:hAnsi="Consolas"/>
          <w:b w:val="0"/>
          <w:color w:val="333333"/>
          <w:sz w:val="18"/>
        </w:rPr>
        <w:t>)</w:t>
      </w:r>
      <w:r>
        <w:br/>
      </w:r>
      <w:r>
        <w:rPr>
          <w:rFonts w:ascii="Consolas" w:hAnsi="Consolas"/>
          <w:b w:val="0"/>
          <w:color w:val="333333"/>
          <w:sz w:val="18"/>
        </w:rPr>
        <w:t>rf_reg.fit(x_train, y_train)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cantSplit/>
        </w:trPr>
        <w:tc>
          <w:tcPr>
            <w:tcW w:type="dxa" w:w="3024"/>
            <w:vAlign w:val="center"/>
            <w:shd w:fill="F2F4F7"/>
            <w:tcMar>
              <w:top w:w="80" w:type="dxa"/>
              <w:start w:w="120" w:type="dxa"/>
              <w:bottom w:w="80" w:type="dxa"/>
              <w:end w:w="120" w:type="dxa"/>
            </w:tcMar>
          </w:tcPr>
          <w:p>
            <w:pPr>
              <w:jc w:val="center"/>
            </w:pPr>
            <w:r>
              <w:rPr>
                <w:rFonts w:ascii="Calibri" w:hAnsi="Calibri"/>
                <w:b/>
                <w:color w:val="1F4D78"/>
                <w:sz w:val="18"/>
              </w:rPr>
              <w:t>Modelo com atributos</w:t>
            </w:r>
          </w:p>
        </w:tc>
        <w:tc>
          <w:tcPr>
            <w:tcW w:type="dxa" w:w="1440"/>
            <w:vAlign w:val="center"/>
            <w:shd w:fill="F2F4F7"/>
            <w:tcMar>
              <w:top w:w="80" w:type="dxa"/>
              <w:start w:w="120" w:type="dxa"/>
              <w:bottom w:w="80" w:type="dxa"/>
              <w:end w:w="120" w:type="dxa"/>
            </w:tcMar>
          </w:tcPr>
          <w:p>
            <w:pPr>
              <w:jc w:val="center"/>
            </w:pPr>
            <w:r>
              <w:rPr>
                <w:rFonts w:ascii="Calibri" w:hAnsi="Calibri"/>
                <w:b/>
                <w:color w:val="1F4D78"/>
                <w:sz w:val="18"/>
              </w:rPr>
              <w:t>WMAPE</w:t>
            </w:r>
          </w:p>
        </w:tc>
        <w:tc>
          <w:tcPr>
            <w:tcW w:type="dxa" w:w="1584"/>
            <w:vAlign w:val="center"/>
            <w:shd w:fill="F2F4F7"/>
            <w:tcMar>
              <w:top w:w="80" w:type="dxa"/>
              <w:start w:w="120" w:type="dxa"/>
              <w:bottom w:w="80" w:type="dxa"/>
              <w:end w:w="120" w:type="dxa"/>
            </w:tcMar>
          </w:tcPr>
          <w:p>
            <w:pPr>
              <w:jc w:val="center"/>
            </w:pPr>
            <w:r>
              <w:rPr>
                <w:rFonts w:ascii="Calibri" w:hAnsi="Calibri"/>
                <w:b/>
                <w:color w:val="1F4D78"/>
                <w:sz w:val="18"/>
              </w:rPr>
              <w:t>Assertividade</w:t>
            </w:r>
          </w:p>
        </w:tc>
        <w:tc>
          <w:tcPr>
            <w:tcW w:type="dxa" w:w="1584"/>
            <w:vAlign w:val="center"/>
            <w:shd w:fill="F2F4F7"/>
            <w:tcMar>
              <w:top w:w="80" w:type="dxa"/>
              <w:start w:w="120" w:type="dxa"/>
              <w:bottom w:w="80" w:type="dxa"/>
              <w:end w:w="120" w:type="dxa"/>
            </w:tcMar>
          </w:tcPr>
          <w:p>
            <w:pPr>
              <w:jc w:val="center"/>
            </w:pPr>
            <w:r>
              <w:rPr>
                <w:rFonts w:ascii="Calibri" w:hAnsi="Calibri"/>
                <w:b/>
                <w:color w:val="1F4D78"/>
                <w:sz w:val="18"/>
              </w:rPr>
              <w:t>MAE</w:t>
            </w:r>
          </w:p>
        </w:tc>
        <w:tc>
          <w:tcPr>
            <w:tcW w:type="dxa" w:w="1728"/>
            <w:vAlign w:val="center"/>
            <w:shd w:fill="F2F4F7"/>
            <w:tcMar>
              <w:top w:w="80" w:type="dxa"/>
              <w:start w:w="120" w:type="dxa"/>
              <w:bottom w:w="80" w:type="dxa"/>
              <w:end w:w="120" w:type="dxa"/>
            </w:tcMar>
          </w:tcPr>
          <w:p>
            <w:pPr>
              <w:jc w:val="center"/>
            </w:pPr>
            <w:r>
              <w:rPr>
                <w:rFonts w:ascii="Calibri" w:hAnsi="Calibri"/>
                <w:b/>
                <w:color w:val="1F4D78"/>
                <w:sz w:val="18"/>
              </w:rPr>
              <w:t>Acerto 2,15%</w:t>
            </w:r>
          </w:p>
        </w:tc>
      </w:tr>
      <w:tr>
        <w:trPr>
          <w:cantSplit/>
        </w:trPr>
        <w:tc>
          <w:tcPr>
            <w:tcW w:type="dxa" w:w="3024"/>
            <w:vAlign w:val="center"/>
            <w:tcMar>
              <w:top w:w="80" w:type="dxa"/>
              <w:start w:w="120" w:type="dxa"/>
              <w:bottom w:w="80" w:type="dxa"/>
              <w:end w:w="120" w:type="dxa"/>
            </w:tcMar>
          </w:tcPr>
          <w:p>
            <w:pPr>
              <w:jc w:val="left"/>
            </w:pPr>
            <w:r>
              <w:rPr>
                <w:rFonts w:ascii="Calibri" w:hAnsi="Calibri"/>
                <w:b w:val="0"/>
                <w:color w:val="1A1A1A"/>
                <w:sz w:val="18"/>
              </w:rPr>
              <w:t>Linear Regression - features</w:t>
            </w:r>
          </w:p>
        </w:tc>
        <w:tc>
          <w:tcPr>
            <w:tcW w:type="dxa" w:w="1440"/>
            <w:vAlign w:val="center"/>
            <w:tcMar>
              <w:top w:w="80" w:type="dxa"/>
              <w:start w:w="120" w:type="dxa"/>
              <w:bottom w:w="80" w:type="dxa"/>
              <w:end w:w="120" w:type="dxa"/>
            </w:tcMar>
          </w:tcPr>
          <w:p>
            <w:pPr>
              <w:jc w:val="center"/>
            </w:pPr>
            <w:r>
              <w:rPr>
                <w:rFonts w:ascii="Calibri" w:hAnsi="Calibri"/>
                <w:b w:val="0"/>
                <w:color w:val="1A1A1A"/>
                <w:sz w:val="18"/>
              </w:rPr>
              <w:t>0,95%</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99,05%</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1.712 pontos</w:t>
            </w:r>
          </w:p>
        </w:tc>
        <w:tc>
          <w:tcPr>
            <w:tcW w:type="dxa" w:w="1728"/>
            <w:vAlign w:val="center"/>
            <w:tcMar>
              <w:top w:w="80" w:type="dxa"/>
              <w:start w:w="120" w:type="dxa"/>
              <w:bottom w:w="80" w:type="dxa"/>
              <w:end w:w="120" w:type="dxa"/>
            </w:tcMar>
          </w:tcPr>
          <w:p>
            <w:pPr>
              <w:jc w:val="center"/>
            </w:pPr>
            <w:r>
              <w:rPr>
                <w:rFonts w:ascii="Calibri" w:hAnsi="Calibri"/>
                <w:b w:val="0"/>
                <w:color w:val="1A1A1A"/>
                <w:sz w:val="18"/>
              </w:rPr>
              <w:t>91,20%</w:t>
            </w:r>
          </w:p>
        </w:tc>
      </w:tr>
      <w:tr>
        <w:trPr>
          <w:cantSplit/>
        </w:trPr>
        <w:tc>
          <w:tcPr>
            <w:tcW w:type="dxa" w:w="3024"/>
            <w:vAlign w:val="center"/>
            <w:tcMar>
              <w:top w:w="80" w:type="dxa"/>
              <w:start w:w="120" w:type="dxa"/>
              <w:bottom w:w="80" w:type="dxa"/>
              <w:end w:w="120" w:type="dxa"/>
            </w:tcMar>
          </w:tcPr>
          <w:p>
            <w:pPr>
              <w:jc w:val="left"/>
            </w:pPr>
            <w:r>
              <w:rPr>
                <w:rFonts w:ascii="Calibri" w:hAnsi="Calibri"/>
                <w:b w:val="0"/>
                <w:color w:val="1A1A1A"/>
                <w:sz w:val="18"/>
              </w:rPr>
              <w:t>Random Forest - features</w:t>
            </w:r>
          </w:p>
        </w:tc>
        <w:tc>
          <w:tcPr>
            <w:tcW w:type="dxa" w:w="1440"/>
            <w:vAlign w:val="center"/>
            <w:tcMar>
              <w:top w:w="80" w:type="dxa"/>
              <w:start w:w="120" w:type="dxa"/>
              <w:bottom w:w="80" w:type="dxa"/>
              <w:end w:w="120" w:type="dxa"/>
            </w:tcMar>
          </w:tcPr>
          <w:p>
            <w:pPr>
              <w:jc w:val="center"/>
            </w:pPr>
            <w:r>
              <w:rPr>
                <w:rFonts w:ascii="Calibri" w:hAnsi="Calibri"/>
                <w:b w:val="0"/>
                <w:color w:val="1A1A1A"/>
                <w:sz w:val="18"/>
              </w:rPr>
              <w:t>7,36%</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92,64%</w:t>
            </w:r>
          </w:p>
        </w:tc>
        <w:tc>
          <w:tcPr>
            <w:tcW w:type="dxa" w:w="1584"/>
            <w:vAlign w:val="center"/>
            <w:tcMar>
              <w:top w:w="80" w:type="dxa"/>
              <w:start w:w="120" w:type="dxa"/>
              <w:bottom w:w="80" w:type="dxa"/>
              <w:end w:w="120" w:type="dxa"/>
            </w:tcMar>
          </w:tcPr>
          <w:p>
            <w:pPr>
              <w:jc w:val="center"/>
            </w:pPr>
            <w:r>
              <w:rPr>
                <w:rFonts w:ascii="Calibri" w:hAnsi="Calibri"/>
                <w:b w:val="0"/>
                <w:color w:val="1A1A1A"/>
                <w:sz w:val="18"/>
              </w:rPr>
              <w:t>13.302 pontos</w:t>
            </w:r>
          </w:p>
        </w:tc>
        <w:tc>
          <w:tcPr>
            <w:tcW w:type="dxa" w:w="1728"/>
            <w:vAlign w:val="center"/>
            <w:tcMar>
              <w:top w:w="80" w:type="dxa"/>
              <w:start w:w="120" w:type="dxa"/>
              <w:bottom w:w="80" w:type="dxa"/>
              <w:end w:w="120" w:type="dxa"/>
            </w:tcMar>
          </w:tcPr>
          <w:p>
            <w:pPr>
              <w:jc w:val="center"/>
            </w:pPr>
            <w:r>
              <w:rPr>
                <w:rFonts w:ascii="Calibri" w:hAnsi="Calibri"/>
                <w:b w:val="0"/>
                <w:color w:val="1A1A1A"/>
                <w:sz w:val="18"/>
              </w:rPr>
              <w:t>12,00%</w:t>
            </w:r>
          </w:p>
        </w:tc>
      </w:tr>
    </w:tbl>
    <w:p/>
    <w:p>
      <w:pPr>
        <w:spacing w:after="200" w:line="300" w:lineRule="auto"/>
        <w:jc w:val="both"/>
      </w:pPr>
      <w:r>
        <w:rPr>
          <w:rFonts w:ascii="Calibri" w:hAnsi="Calibri"/>
          <w:b w:val="0"/>
          <w:color w:val="1A1A1A"/>
          <w:sz w:val="22"/>
        </w:rPr>
        <w:t>A regressao linear fica competitiva porque o proprio fechamento atual esta entre as variaveis de entrada, fazendo o modelo aprender uma relacao muito proxima da persistencia. O Random Forest, por outro lado, perde aderencia neste recorte porque modelos baseados em arvores tendem a criar faixas de previsao e podem ter dificuldade para extrapolar suavemente o nivel atual do indice.</w:t>
      </w:r>
    </w:p>
    <w:p>
      <w:pPr>
        <w:spacing w:after="200" w:line="300" w:lineRule="auto"/>
        <w:jc w:val="both"/>
      </w:pPr>
      <w:r>
        <w:rPr>
          <w:rFonts w:ascii="Calibri" w:hAnsi="Calibri"/>
          <w:b w:val="0"/>
          <w:color w:val="1A1A1A"/>
          <w:sz w:val="22"/>
        </w:rPr>
        <w:t>Por isso, os modelos com atributos entram como validacao adicional, nao como escolha final. Eles mostram que adicionar muitos indicadores tecnicos nao garante ganho real sobre uma serie financeira de curto prazo. O ARIMA walk-forward permanece como modelo principal por ser mais aderente ao enunciado de series temporais, ter fundamentacao estatistica pela estacionariedade/autocorrelacao e entregar intervalo de confianca para a previsao de 15 pregoes.</w:t>
      </w:r>
    </w:p>
    <w:p>
      <w:pPr>
        <w:jc w:val="center"/>
      </w:pPr>
      <w:r>
        <w:drawing>
          <wp:inline xmlns:a="http://schemas.openxmlformats.org/drawingml/2006/main" xmlns:pic="http://schemas.openxmlformats.org/drawingml/2006/picture">
            <wp:extent cx="5669280" cy="2834640"/>
            <wp:docPr id="7" name="Picture 7"/>
            <wp:cNvGraphicFramePr>
              <a:graphicFrameLocks noChangeAspect="1"/>
            </wp:cNvGraphicFramePr>
            <a:graphic>
              <a:graphicData uri="http://schemas.openxmlformats.org/drawingml/2006/picture">
                <pic:pic>
                  <pic:nvPicPr>
                    <pic:cNvPr id="0" name="10_comparativo_modelos_regressao.png"/>
                    <pic:cNvPicPr/>
                  </pic:nvPicPr>
                  <pic:blipFill>
                    <a:blip r:embed="rId16"/>
                    <a:stretch>
                      <a:fillRect/>
                    </a:stretch>
                  </pic:blipFill>
                  <pic:spPr>
                    <a:xfrm>
                      <a:off x="0" y="0"/>
                      <a:ext cx="5669280" cy="2834640"/>
                    </a:xfrm>
                    <a:prstGeom prst="rect"/>
                  </pic:spPr>
                </pic:pic>
              </a:graphicData>
            </a:graphic>
          </wp:inline>
        </w:drawing>
      </w:r>
    </w:p>
    <w:p>
      <w:pPr>
        <w:jc w:val="center"/>
      </w:pPr>
      <w:r>
        <w:rPr>
          <w:rFonts w:ascii="Calibri" w:hAnsi="Calibri"/>
          <w:b w:val="0"/>
          <w:color w:val="666666"/>
          <w:sz w:val="18"/>
        </w:rPr>
        <w:t>Figura 7 - Comparacao entre ARIMA, baseline e regressoes com atributos pela tolerancia de 2,15%.</w:t>
      </w:r>
    </w:p>
    <w:p>
      <w:pPr>
        <w:pStyle w:val="Heading2"/>
        <w:spacing w:before="300" w:after="150"/>
      </w:pPr>
      <w:r>
        <w:rPr>
          <w:rFonts w:ascii="Calibri" w:hAnsi="Calibri"/>
          <w:b/>
          <w:color w:val="2E74B5"/>
          <w:sz w:val="26"/>
        </w:rPr>
        <w:t>7.6 Robustez da tolerancia de erro</w:t>
      </w:r>
    </w:p>
    <w:p>
      <w:pPr>
        <w:spacing w:after="200" w:line="300" w:lineRule="auto"/>
        <w:jc w:val="both"/>
      </w:pPr>
      <w:r>
        <w:rPr>
          <w:rFonts w:ascii="Calibri" w:hAnsi="Calibri"/>
          <w:b w:val="0"/>
          <w:color w:val="1A1A1A"/>
          <w:sz w:val="22"/>
        </w:rPr>
        <w:t>Como a leitura de acerto por tolerancia depende da margem escolhida, tambem foi feita uma analise de sensibilidade. Isso evita escolher uma unica faixa sem contexto e mostra como o modelo se comporta em margens mais conservadoras e mais flexiveis.</w:t>
      </w:r>
    </w:p>
    <w:tbl>
      <w:tblPr>
        <w:tblStyle w:val="TableGrid"/>
        <w:tblW w:type="auto" w:w="0"/>
        <w:jc w:val="center"/>
        <w:tblLayout w:type="fixed"/>
        <w:tblLook w:firstColumn="1" w:firstRow="1" w:lastColumn="0" w:lastRow="0" w:noHBand="0" w:noVBand="1" w:val="04A0"/>
      </w:tblPr>
      <w:tblGrid>
        <w:gridCol w:w="4680"/>
        <w:gridCol w:w="4680"/>
      </w:tblGrid>
      <w:tr>
        <w:trPr>
          <w:cantSplit/>
        </w:trPr>
        <w:tc>
          <w:tcPr>
            <w:tcW w:type="dxa" w:w="3456"/>
            <w:vAlign w:val="center"/>
            <w:shd w:fill="F2F4F7"/>
            <w:tcMar>
              <w:top w:w="80" w:type="dxa"/>
              <w:start w:w="120" w:type="dxa"/>
              <w:bottom w:w="80" w:type="dxa"/>
              <w:end w:w="120" w:type="dxa"/>
            </w:tcMar>
          </w:tcPr>
          <w:p>
            <w:pPr>
              <w:jc w:val="center"/>
            </w:pPr>
            <w:r>
              <w:rPr>
                <w:rFonts w:ascii="Calibri" w:hAnsi="Calibri"/>
                <w:b/>
                <w:color w:val="1F4D78"/>
                <w:sz w:val="18"/>
              </w:rPr>
              <w:t>Tolerancia de erro</w:t>
            </w:r>
          </w:p>
        </w:tc>
        <w:tc>
          <w:tcPr>
            <w:tcW w:type="dxa" w:w="3456"/>
            <w:vAlign w:val="center"/>
            <w:shd w:fill="F2F4F7"/>
            <w:tcMar>
              <w:top w:w="80" w:type="dxa"/>
              <w:start w:w="120" w:type="dxa"/>
              <w:bottom w:w="80" w:type="dxa"/>
              <w:end w:w="120" w:type="dxa"/>
            </w:tcMar>
          </w:tcPr>
          <w:p>
            <w:pPr>
              <w:jc w:val="center"/>
            </w:pPr>
            <w:r>
              <w:rPr>
                <w:rFonts w:ascii="Calibri" w:hAnsi="Calibri"/>
                <w:b/>
                <w:color w:val="1F4D78"/>
                <w:sz w:val="18"/>
              </w:rPr>
              <w:t>Acerto ARIMA walk-forward</w:t>
            </w:r>
          </w:p>
        </w:tc>
      </w:tr>
      <w:tr>
        <w:trPr>
          <w:cantSplit/>
        </w:trPr>
        <w:tc>
          <w:tcPr>
            <w:tcW w:type="dxa" w:w="3456"/>
            <w:vAlign w:val="center"/>
            <w:tcMar>
              <w:top w:w="80" w:type="dxa"/>
              <w:start w:w="120" w:type="dxa"/>
              <w:bottom w:w="80" w:type="dxa"/>
              <w:end w:w="120" w:type="dxa"/>
            </w:tcMar>
          </w:tcPr>
          <w:p>
            <w:pPr>
              <w:jc w:val="center"/>
            </w:pPr>
            <w:r>
              <w:rPr>
                <w:rFonts w:ascii="Calibri" w:hAnsi="Calibri"/>
                <w:b w:val="0"/>
                <w:color w:val="1A1A1A"/>
                <w:sz w:val="18"/>
              </w:rPr>
              <w:t>1,00%</w:t>
            </w:r>
          </w:p>
        </w:tc>
        <w:tc>
          <w:tcPr>
            <w:tcW w:type="dxa" w:w="3456"/>
            <w:vAlign w:val="center"/>
            <w:tcMar>
              <w:top w:w="80" w:type="dxa"/>
              <w:start w:w="120" w:type="dxa"/>
              <w:bottom w:w="80" w:type="dxa"/>
              <w:end w:w="120" w:type="dxa"/>
            </w:tcMar>
          </w:tcPr>
          <w:p>
            <w:pPr>
              <w:jc w:val="center"/>
            </w:pPr>
            <w:r>
              <w:rPr>
                <w:rFonts w:ascii="Calibri" w:hAnsi="Calibri"/>
                <w:b w:val="0"/>
                <w:color w:val="1A1A1A"/>
                <w:sz w:val="18"/>
              </w:rPr>
              <w:t>64,80%</w:t>
            </w:r>
          </w:p>
        </w:tc>
      </w:tr>
      <w:tr>
        <w:trPr>
          <w:cantSplit/>
        </w:trPr>
        <w:tc>
          <w:tcPr>
            <w:tcW w:type="dxa" w:w="3456"/>
            <w:vAlign w:val="center"/>
            <w:tcMar>
              <w:top w:w="80" w:type="dxa"/>
              <w:start w:w="120" w:type="dxa"/>
              <w:bottom w:w="80" w:type="dxa"/>
              <w:end w:w="120" w:type="dxa"/>
            </w:tcMar>
          </w:tcPr>
          <w:p>
            <w:pPr>
              <w:jc w:val="center"/>
            </w:pPr>
            <w:r>
              <w:rPr>
                <w:rFonts w:ascii="Calibri" w:hAnsi="Calibri"/>
                <w:b w:val="0"/>
                <w:color w:val="1A1A1A"/>
                <w:sz w:val="18"/>
              </w:rPr>
              <w:t>1,50%</w:t>
            </w:r>
          </w:p>
        </w:tc>
        <w:tc>
          <w:tcPr>
            <w:tcW w:type="dxa" w:w="3456"/>
            <w:vAlign w:val="center"/>
            <w:tcMar>
              <w:top w:w="80" w:type="dxa"/>
              <w:start w:w="120" w:type="dxa"/>
              <w:bottom w:w="80" w:type="dxa"/>
              <w:end w:w="120" w:type="dxa"/>
            </w:tcMar>
          </w:tcPr>
          <w:p>
            <w:pPr>
              <w:jc w:val="center"/>
            </w:pPr>
            <w:r>
              <w:rPr>
                <w:rFonts w:ascii="Calibri" w:hAnsi="Calibri"/>
                <w:b w:val="0"/>
                <w:color w:val="1A1A1A"/>
                <w:sz w:val="18"/>
              </w:rPr>
              <w:t>78,40%</w:t>
            </w:r>
          </w:p>
        </w:tc>
      </w:tr>
      <w:tr>
        <w:trPr>
          <w:cantSplit/>
        </w:trPr>
        <w:tc>
          <w:tcPr>
            <w:tcW w:type="dxa" w:w="3456"/>
            <w:vAlign w:val="center"/>
            <w:tcMar>
              <w:top w:w="80" w:type="dxa"/>
              <w:start w:w="120" w:type="dxa"/>
              <w:bottom w:w="80" w:type="dxa"/>
              <w:end w:w="120" w:type="dxa"/>
            </w:tcMar>
          </w:tcPr>
          <w:p>
            <w:pPr>
              <w:jc w:val="center"/>
            </w:pPr>
            <w:r>
              <w:rPr>
                <w:rFonts w:ascii="Calibri" w:hAnsi="Calibri"/>
                <w:b w:val="0"/>
                <w:color w:val="1A1A1A"/>
                <w:sz w:val="18"/>
              </w:rPr>
              <w:t>2,00%</w:t>
            </w:r>
          </w:p>
        </w:tc>
        <w:tc>
          <w:tcPr>
            <w:tcW w:type="dxa" w:w="3456"/>
            <w:vAlign w:val="center"/>
            <w:tcMar>
              <w:top w:w="80" w:type="dxa"/>
              <w:start w:w="120" w:type="dxa"/>
              <w:bottom w:w="80" w:type="dxa"/>
              <w:end w:w="120" w:type="dxa"/>
            </w:tcMar>
          </w:tcPr>
          <w:p>
            <w:pPr>
              <w:jc w:val="center"/>
            </w:pPr>
            <w:r>
              <w:rPr>
                <w:rFonts w:ascii="Calibri" w:hAnsi="Calibri"/>
                <w:b w:val="0"/>
                <w:color w:val="1A1A1A"/>
                <w:sz w:val="18"/>
              </w:rPr>
              <w:t>90,40%</w:t>
            </w:r>
          </w:p>
        </w:tc>
      </w:tr>
      <w:tr>
        <w:trPr>
          <w:cantSplit/>
        </w:trPr>
        <w:tc>
          <w:tcPr>
            <w:tcW w:type="dxa" w:w="3456"/>
            <w:vAlign w:val="center"/>
            <w:tcMar>
              <w:top w:w="80" w:type="dxa"/>
              <w:start w:w="120" w:type="dxa"/>
              <w:bottom w:w="80" w:type="dxa"/>
              <w:end w:w="120" w:type="dxa"/>
            </w:tcMar>
          </w:tcPr>
          <w:p>
            <w:pPr>
              <w:jc w:val="center"/>
            </w:pPr>
            <w:r>
              <w:rPr>
                <w:rFonts w:ascii="Calibri" w:hAnsi="Calibri"/>
                <w:b w:val="0"/>
                <w:color w:val="1A1A1A"/>
                <w:sz w:val="18"/>
              </w:rPr>
              <w:t>2,15%</w:t>
            </w:r>
          </w:p>
        </w:tc>
        <w:tc>
          <w:tcPr>
            <w:tcW w:type="dxa" w:w="3456"/>
            <w:vAlign w:val="center"/>
            <w:tcMar>
              <w:top w:w="80" w:type="dxa"/>
              <w:start w:w="120" w:type="dxa"/>
              <w:bottom w:w="80" w:type="dxa"/>
              <w:end w:w="120" w:type="dxa"/>
            </w:tcMar>
          </w:tcPr>
          <w:p>
            <w:pPr>
              <w:jc w:val="center"/>
            </w:pPr>
            <w:r>
              <w:rPr>
                <w:rFonts w:ascii="Calibri" w:hAnsi="Calibri"/>
                <w:b w:val="0"/>
                <w:color w:val="1A1A1A"/>
                <w:sz w:val="18"/>
              </w:rPr>
              <w:t>92,00%</w:t>
            </w:r>
          </w:p>
        </w:tc>
      </w:tr>
      <w:tr>
        <w:trPr>
          <w:cantSplit/>
        </w:trPr>
        <w:tc>
          <w:tcPr>
            <w:tcW w:type="dxa" w:w="3456"/>
            <w:vAlign w:val="center"/>
            <w:tcMar>
              <w:top w:w="80" w:type="dxa"/>
              <w:start w:w="120" w:type="dxa"/>
              <w:bottom w:w="80" w:type="dxa"/>
              <w:end w:w="120" w:type="dxa"/>
            </w:tcMar>
          </w:tcPr>
          <w:p>
            <w:pPr>
              <w:jc w:val="center"/>
            </w:pPr>
            <w:r>
              <w:rPr>
                <w:rFonts w:ascii="Calibri" w:hAnsi="Calibri"/>
                <w:b w:val="0"/>
                <w:color w:val="1A1A1A"/>
                <w:sz w:val="18"/>
              </w:rPr>
              <w:t>2,50%</w:t>
            </w:r>
          </w:p>
        </w:tc>
        <w:tc>
          <w:tcPr>
            <w:tcW w:type="dxa" w:w="3456"/>
            <w:vAlign w:val="center"/>
            <w:tcMar>
              <w:top w:w="80" w:type="dxa"/>
              <w:start w:w="120" w:type="dxa"/>
              <w:bottom w:w="80" w:type="dxa"/>
              <w:end w:w="120" w:type="dxa"/>
            </w:tcMar>
          </w:tcPr>
          <w:p>
            <w:pPr>
              <w:jc w:val="center"/>
            </w:pPr>
            <w:r>
              <w:rPr>
                <w:rFonts w:ascii="Calibri" w:hAnsi="Calibri"/>
                <w:b w:val="0"/>
                <w:color w:val="1A1A1A"/>
                <w:sz w:val="18"/>
              </w:rPr>
              <w:t>95,20%</w:t>
            </w:r>
          </w:p>
        </w:tc>
      </w:tr>
      <w:tr>
        <w:trPr>
          <w:cantSplit/>
        </w:trPr>
        <w:tc>
          <w:tcPr>
            <w:tcW w:type="dxa" w:w="3456"/>
            <w:vAlign w:val="center"/>
            <w:tcMar>
              <w:top w:w="80" w:type="dxa"/>
              <w:start w:w="120" w:type="dxa"/>
              <w:bottom w:w="80" w:type="dxa"/>
              <w:end w:w="120" w:type="dxa"/>
            </w:tcMar>
          </w:tcPr>
          <w:p>
            <w:pPr>
              <w:jc w:val="center"/>
            </w:pPr>
            <w:r>
              <w:rPr>
                <w:rFonts w:ascii="Calibri" w:hAnsi="Calibri"/>
                <w:b w:val="0"/>
                <w:color w:val="1A1A1A"/>
                <w:sz w:val="18"/>
              </w:rPr>
              <w:t>3,00%</w:t>
            </w:r>
          </w:p>
        </w:tc>
        <w:tc>
          <w:tcPr>
            <w:tcW w:type="dxa" w:w="3456"/>
            <w:vAlign w:val="center"/>
            <w:tcMar>
              <w:top w:w="80" w:type="dxa"/>
              <w:start w:w="120" w:type="dxa"/>
              <w:bottom w:w="80" w:type="dxa"/>
              <w:end w:w="120" w:type="dxa"/>
            </w:tcMar>
          </w:tcPr>
          <w:p>
            <w:pPr>
              <w:jc w:val="center"/>
            </w:pPr>
            <w:r>
              <w:rPr>
                <w:rFonts w:ascii="Calibri" w:hAnsi="Calibri"/>
                <w:b w:val="0"/>
                <w:color w:val="1A1A1A"/>
                <w:sz w:val="18"/>
              </w:rPr>
              <w:t>99,20%</w:t>
            </w:r>
          </w:p>
        </w:tc>
      </w:tr>
    </w:tbl>
    <w:p/>
    <w:p>
      <w:pPr>
        <w:jc w:val="center"/>
      </w:pPr>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07_erro_percentual_arima.png"/>
                    <pic:cNvPicPr/>
                  </pic:nvPicPr>
                  <pic:blipFill>
                    <a:blip r:embed="rId17"/>
                    <a:stretch>
                      <a:fillRect/>
                    </a:stretch>
                  </pic:blipFill>
                  <pic:spPr>
                    <a:xfrm>
                      <a:off x="0" y="0"/>
                      <a:ext cx="5669280" cy="2834640"/>
                    </a:xfrm>
                    <a:prstGeom prst="rect"/>
                  </pic:spPr>
                </pic:pic>
              </a:graphicData>
            </a:graphic>
          </wp:inline>
        </w:drawing>
      </w:r>
    </w:p>
    <w:p>
      <w:pPr>
        <w:jc w:val="center"/>
      </w:pPr>
      <w:r>
        <w:rPr>
          <w:rFonts w:ascii="Calibri" w:hAnsi="Calibri"/>
          <w:b w:val="0"/>
          <w:color w:val="666666"/>
          <w:sz w:val="18"/>
        </w:rPr>
        <w:t>Figura 8 - Distribuicao do erro percentual absoluto do ARIMA walk-forward.</w:t>
      </w:r>
    </w:p>
    <w:p>
      <w:pPr>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08_curva_tolerancia_arima.png"/>
                    <pic:cNvPicPr/>
                  </pic:nvPicPr>
                  <pic:blipFill>
                    <a:blip r:embed="rId18"/>
                    <a:stretch>
                      <a:fillRect/>
                    </a:stretch>
                  </pic:blipFill>
                  <pic:spPr>
                    <a:xfrm>
                      <a:off x="0" y="0"/>
                      <a:ext cx="5669280" cy="2834640"/>
                    </a:xfrm>
                    <a:prstGeom prst="rect"/>
                  </pic:spPr>
                </pic:pic>
              </a:graphicData>
            </a:graphic>
          </wp:inline>
        </w:drawing>
      </w:r>
    </w:p>
    <w:p>
      <w:pPr>
        <w:jc w:val="center"/>
      </w:pPr>
      <w:r>
        <w:rPr>
          <w:rFonts w:ascii="Calibri" w:hAnsi="Calibri"/>
          <w:b w:val="0"/>
          <w:color w:val="666666"/>
          <w:sz w:val="18"/>
        </w:rPr>
        <w:t>Figura 9 - Sensibilidade do acerto conforme a tolerancia de erro.</w:t>
      </w:r>
    </w:p>
    <w:p>
      <w:r>
        <w:br w:type="page"/>
      </w:r>
    </w:p>
    <w:p>
      <w:pPr>
        <w:pStyle w:val="Heading1"/>
        <w:spacing w:before="400" w:after="200"/>
      </w:pPr>
      <w:r>
        <w:rPr>
          <w:rFonts w:ascii="Calibri" w:hAnsi="Calibri"/>
          <w:b/>
          <w:color w:val="2E74B5"/>
          <w:sz w:val="32"/>
        </w:rPr>
        <w:t>8. Investigacao complementar de direcao</w:t>
      </w:r>
    </w:p>
    <w:p>
      <w:pPr>
        <w:spacing w:after="200" w:line="300" w:lineRule="auto"/>
        <w:jc w:val="both"/>
      </w:pPr>
      <w:r>
        <w:rPr>
          <w:rFonts w:ascii="Calibri" w:hAnsi="Calibri"/>
          <w:b w:val="0"/>
          <w:color w:val="1A1A1A"/>
          <w:sz w:val="22"/>
        </w:rPr>
        <w:t>Tambem foram testados modelos supervisionados com features tecnicas e classificacao de direcao. Essa frente foi mantida como complemento, pois a orientacao atual da prova favorece regressao e metricas de distancia. A classificacao de alta/baixa e naturalmente mais instavel, especialmente em dias com variacoes pequenas.</w:t>
      </w:r>
    </w:p>
    <w:p>
      <w:pPr>
        <w:spacing w:after="200" w:line="300" w:lineRule="auto"/>
        <w:jc w:val="both"/>
      </w:pPr>
      <w:r>
        <w:rPr>
          <w:rFonts w:ascii="Calibri" w:hAnsi="Calibri"/>
          <w:b w:val="0"/>
          <w:color w:val="1A1A1A"/>
          <w:sz w:val="22"/>
        </w:rPr>
        <w:t>Essa decisao deixa a entrega mais honesta. Em vez de inflar uma acuracia de direcao por escolha oportunista de janela, threshold ou hiperparametro, o projeto reporta a regressao como resposta principal e a classificacao como investigacao dos limites do problema.</w:t>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60"/>
            </w:pPr>
            <w:r>
              <w:rPr>
                <w:rFonts w:ascii="Calibri" w:hAnsi="Calibri"/>
                <w:b/>
                <w:color w:val="7A5A00"/>
                <w:sz w:val="22"/>
              </w:rPr>
              <w:t>Leitura tecnica</w:t>
            </w:r>
          </w:p>
          <w:p>
            <w:pPr>
              <w:spacing w:after="0"/>
            </w:pPr>
            <w:r>
              <w:rPr>
                <w:rFonts w:ascii="Calibri" w:hAnsi="Calibri"/>
                <w:b w:val="0"/>
                <w:color w:val="1A1A1A"/>
                <w:sz w:val="20"/>
              </w:rPr>
              <w:t>Prever o valor aproximado do fechamento e diferente de prever corretamente a direcao diaria. A segunda tarefa e mais dura e tende a ficar perto de 50% quando usamos apenas informacoes publicas do proprio indice.</w:t>
            </w:r>
          </w:p>
        </w:tc>
      </w:tr>
    </w:tbl>
    <w:p/>
    <w:p>
      <w:r>
        <w:br w:type="page"/>
      </w:r>
    </w:p>
    <w:p>
      <w:pPr>
        <w:pStyle w:val="Heading1"/>
        <w:spacing w:before="400" w:after="200"/>
      </w:pPr>
      <w:r>
        <w:rPr>
          <w:rFonts w:ascii="Calibri" w:hAnsi="Calibri"/>
          <w:b/>
          <w:color w:val="2E74B5"/>
          <w:sz w:val="32"/>
        </w:rPr>
        <w:t>9. Projecao dos proximos 15 pregoes</w:t>
      </w:r>
    </w:p>
    <w:p>
      <w:pPr>
        <w:spacing w:after="200" w:line="300" w:lineRule="auto"/>
        <w:jc w:val="both"/>
      </w:pPr>
      <w:r>
        <w:rPr>
          <w:rFonts w:ascii="Calibri" w:hAnsi="Calibri"/>
          <w:b w:val="0"/>
          <w:color w:val="1A1A1A"/>
          <w:sz w:val="22"/>
        </w:rPr>
        <w:t>Com a base atualizada ate 29/07/2026, a previsao inicia em 30/07/2026 e termina em 19/08/2026. O intervalo de confianca aumenta ao longo do horizonte, refletindo a incerteza acumulada.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872"/>
            <w:vAlign w:val="center"/>
            <w:shd w:fill="F2F4F7"/>
            <w:tcMar>
              <w:top w:w="80" w:type="dxa"/>
              <w:start w:w="120" w:type="dxa"/>
              <w:bottom w:w="80" w:type="dxa"/>
              <w:end w:w="120" w:type="dxa"/>
            </w:tcMar>
          </w:tcPr>
          <w:p>
            <w:pPr>
              <w:jc w:val="center"/>
            </w:pPr>
            <w:r>
              <w:rPr>
                <w:rFonts w:ascii="Calibri" w:hAnsi="Calibri"/>
                <w:b/>
                <w:color w:val="1F4D78"/>
                <w:sz w:val="18"/>
              </w:rPr>
              <w:t>Data</w:t>
            </w:r>
          </w:p>
        </w:tc>
        <w:tc>
          <w:tcPr>
            <w:tcW w:type="dxa" w:w="2304"/>
            <w:vAlign w:val="center"/>
            <w:shd w:fill="F2F4F7"/>
            <w:tcMar>
              <w:top w:w="80" w:type="dxa"/>
              <w:start w:w="120" w:type="dxa"/>
              <w:bottom w:w="80" w:type="dxa"/>
              <w:end w:w="120" w:type="dxa"/>
            </w:tcMar>
          </w:tcPr>
          <w:p>
            <w:pPr>
              <w:jc w:val="center"/>
            </w:pPr>
            <w:r>
              <w:rPr>
                <w:rFonts w:ascii="Calibri" w:hAnsi="Calibri"/>
                <w:b/>
                <w:color w:val="1F4D78"/>
                <w:sz w:val="18"/>
              </w:rPr>
              <w:t>Previsto</w:t>
            </w:r>
          </w:p>
        </w:tc>
        <w:tc>
          <w:tcPr>
            <w:tcW w:type="dxa" w:w="2592"/>
            <w:vAlign w:val="center"/>
            <w:shd w:fill="F2F4F7"/>
            <w:tcMar>
              <w:top w:w="80" w:type="dxa"/>
              <w:start w:w="120" w:type="dxa"/>
              <w:bottom w:w="80" w:type="dxa"/>
              <w:end w:w="120" w:type="dxa"/>
            </w:tcMar>
          </w:tcPr>
          <w:p>
            <w:pPr>
              <w:jc w:val="center"/>
            </w:pPr>
            <w:r>
              <w:rPr>
                <w:rFonts w:ascii="Calibri" w:hAnsi="Calibri"/>
                <w:b/>
                <w:color w:val="1F4D78"/>
                <w:sz w:val="18"/>
              </w:rPr>
              <w:t>IC 95% inf.</w:t>
            </w:r>
          </w:p>
        </w:tc>
        <w:tc>
          <w:tcPr>
            <w:tcW w:type="dxa" w:w="2592"/>
            <w:vAlign w:val="center"/>
            <w:shd w:fill="F2F4F7"/>
            <w:tcMar>
              <w:top w:w="80" w:type="dxa"/>
              <w:start w:w="120" w:type="dxa"/>
              <w:bottom w:w="80" w:type="dxa"/>
              <w:end w:w="120" w:type="dxa"/>
            </w:tcMar>
          </w:tcPr>
          <w:p>
            <w:pPr>
              <w:jc w:val="center"/>
            </w:pPr>
            <w:r>
              <w:rPr>
                <w:rFonts w:ascii="Calibri" w:hAnsi="Calibri"/>
                <w:b/>
                <w:color w:val="1F4D78"/>
                <w:sz w:val="18"/>
              </w:rPr>
              <w:t>IC 95% sup.</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30/07/2026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174.023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171.617</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176.430</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31/07/2026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173.911</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170.598</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177.225</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03/08/2026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173.947</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169.889</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178.005</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04/08/2026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173.946</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169.258</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178.634</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05/08/2026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173.892</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168.641</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179.143</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06/08/2026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173.897</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168.117</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179.677</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07/08/2026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167.630</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180.156</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10/08/2026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173.894</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167.182</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180.606</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11/08/2026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173.894</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166.761</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181.027</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12/08/2026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166.362</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181.423</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13/08/2026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165.984</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181.801</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14/08/2026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165.623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182.162</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17/08/2026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165.277</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182.508</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18/08/2026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164.945</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182.840</w:t>
            </w:r>
          </w:p>
        </w:tc>
      </w:tr>
      <w:tr>
        <w:trPr>
          <w:cantSplit/>
        </w:trPr>
        <w:tc>
          <w:tcPr>
            <w:tcW w:type="dxa" w:w="1872"/>
            <w:vAlign w:val="center"/>
            <w:tcMar>
              <w:top w:w="80" w:type="dxa"/>
              <w:start w:w="120" w:type="dxa"/>
              <w:bottom w:w="80" w:type="dxa"/>
              <w:end w:w="120" w:type="dxa"/>
            </w:tcMar>
          </w:tcPr>
          <w:p>
            <w:pPr>
              <w:jc w:val="center"/>
            </w:pPr>
            <w:r>
              <w:rPr>
                <w:rFonts w:ascii="Calibri" w:hAnsi="Calibri"/>
                <w:b w:val="0"/>
                <w:color w:val="1A1A1A"/>
                <w:sz w:val="18"/>
              </w:rPr>
              <w:t>19/08/2026</w:t>
            </w:r>
          </w:p>
        </w:tc>
        <w:tc>
          <w:tcPr>
            <w:tcW w:type="dxa" w:w="2304"/>
            <w:vAlign w:val="center"/>
            <w:tcMar>
              <w:top w:w="80" w:type="dxa"/>
              <w:start w:w="120" w:type="dxa"/>
              <w:bottom w:w="80" w:type="dxa"/>
              <w:end w:w="120" w:type="dxa"/>
            </w:tcMar>
          </w:tcPr>
          <w:p>
            <w:pPr>
              <w:jc w:val="center"/>
            </w:pPr>
            <w:r>
              <w:rPr>
                <w:rFonts w:ascii="Calibri" w:hAnsi="Calibri"/>
                <w:b w:val="0"/>
                <w:color w:val="1A1A1A"/>
                <w:sz w:val="18"/>
              </w:rPr>
              <w:t>173.893</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164.625</w:t>
            </w:r>
          </w:p>
        </w:tc>
        <w:tc>
          <w:tcPr>
            <w:tcW w:type="dxa" w:w="2592"/>
            <w:vAlign w:val="center"/>
            <w:tcMar>
              <w:top w:w="80" w:type="dxa"/>
              <w:start w:w="120" w:type="dxa"/>
              <w:bottom w:w="80" w:type="dxa"/>
              <w:end w:w="120" w:type="dxa"/>
            </w:tcMar>
          </w:tcPr>
          <w:p>
            <w:pPr>
              <w:jc w:val="center"/>
            </w:pPr>
            <w:r>
              <w:rPr>
                <w:rFonts w:ascii="Calibri" w:hAnsi="Calibri"/>
                <w:b w:val="0"/>
                <w:color w:val="1A1A1A"/>
                <w:sz w:val="18"/>
              </w:rPr>
              <w:t>183.160</w:t>
            </w:r>
          </w:p>
        </w:tc>
      </w:tr>
    </w:tbl>
    <w:p/>
    <w:p>
      <w:pPr>
        <w:jc w:val="center"/>
      </w:pPr>
      <w:r>
        <w:drawing>
          <wp:inline xmlns:a="http://schemas.openxmlformats.org/drawingml/2006/main" xmlns:pic="http://schemas.openxmlformats.org/drawingml/2006/picture">
            <wp:extent cx="5669280" cy="1909474"/>
            <wp:docPr id="10" name="Picture 10"/>
            <wp:cNvGraphicFramePr>
              <a:graphicFrameLocks noChangeAspect="1"/>
            </wp:cNvGraphicFramePr>
            <a:graphic>
              <a:graphicData uri="http://schemas.openxmlformats.org/drawingml/2006/picture">
                <pic:pic>
                  <pic:nvPicPr>
                    <pic:cNvPr id="0" name="06_previsao_15_pregoes.png"/>
                    <pic:cNvPicPr/>
                  </pic:nvPicPr>
                  <pic:blipFill>
                    <a:blip r:embed="rId19"/>
                    <a:stretch>
                      <a:fillRect/>
                    </a:stretch>
                  </pic:blipFill>
                  <pic:spPr>
                    <a:xfrm>
                      <a:off x="0" y="0"/>
                      <a:ext cx="5669280" cy="1909474"/>
                    </a:xfrm>
                    <a:prstGeom prst="rect"/>
                  </pic:spPr>
                </pic:pic>
              </a:graphicData>
            </a:graphic>
          </wp:inline>
        </w:drawing>
      </w:r>
    </w:p>
    <w:p>
      <w:pPr>
        <w:jc w:val="center"/>
      </w:pPr>
      <w:r>
        <w:rPr>
          <w:rFonts w:ascii="Calibri" w:hAnsi="Calibri"/>
          <w:b w:val="0"/>
          <w:color w:val="666666"/>
          <w:sz w:val="18"/>
        </w:rPr>
        <w:t>Figura 10 - Projecao dos proximos 15 pregoes.</w:t>
      </w:r>
    </w:p>
    <w:p>
      <w:r>
        <w:br w:type="page"/>
      </w:r>
    </w:p>
    <w:p>
      <w:pPr>
        <w:pStyle w:val="Heading1"/>
        <w:spacing w:before="400" w:after="200"/>
      </w:pPr>
      <w:r>
        <w:rPr>
          <w:rFonts w:ascii="Calibri" w:hAnsi="Calibri"/>
          <w:b/>
          <w:color w:val="2E74B5"/>
          <w:sz w:val="32"/>
        </w:rPr>
        <w:t>10. Fechamento tecnico</w:t>
      </w:r>
    </w:p>
    <w:p>
      <w:pPr>
        <w:spacing w:after="200" w:line="300" w:lineRule="auto"/>
        <w:jc w:val="both"/>
      </w:pPr>
      <w:r>
        <w:rPr>
          <w:rFonts w:ascii="Calibri" w:hAnsi="Calibri"/>
          <w:b w:val="0"/>
          <w:color w:val="1A1A1A"/>
          <w:sz w:val="22"/>
        </w:rPr>
        <w:t>A solucao final atende ao objetivo da prova substitutiva por tratar o IBOVESPA como serie temporal, usar decomposicao e estacionariedade para justificar o ARIMA, avaliar previsao numerica com WMAPE e apresentar uma previsao de 15 pregoes com intervalo de confianca. O resultado principal supera a meta de 80% pela metrica de assertividade orientada por erro percentual.</w:t>
      </w:r>
    </w:p>
    <w:p>
      <w:pPr>
        <w:pStyle w:val="Heading2"/>
        <w:spacing w:before="300" w:after="150"/>
      </w:pPr>
      <w:r>
        <w:rPr>
          <w:rFonts w:ascii="Calibri" w:hAnsi="Calibri"/>
          <w:b/>
          <w:color w:val="2E74B5"/>
          <w:sz w:val="26"/>
        </w:rPr>
        <w:t>10.1 Principais entregas</w:t>
      </w:r>
    </w:p>
    <w:p>
      <w:pPr>
        <w:pStyle w:val="ListBullet"/>
        <w:spacing w:after="100" w:line="280" w:lineRule="auto"/>
      </w:pPr>
      <w:r>
        <w:rPr>
          <w:rFonts w:ascii="Calibri" w:hAnsi="Calibri"/>
          <w:b w:val="0"/>
          <w:color w:val="1A1A1A"/>
          <w:sz w:val="22"/>
        </w:rPr>
        <w:t>Uma base historica atualizada e limpa do IBOVESPA ate 29/07/2026.</w:t>
      </w:r>
    </w:p>
    <w:p>
      <w:pPr>
        <w:pStyle w:val="ListBullet"/>
        <w:spacing w:after="100" w:line="280" w:lineRule="auto"/>
      </w:pPr>
      <w:r>
        <w:rPr>
          <w:rFonts w:ascii="Calibri" w:hAnsi="Calibri"/>
          <w:b w:val="0"/>
          <w:color w:val="1A1A1A"/>
          <w:sz w:val="22"/>
        </w:rPr>
        <w:t>Storytelling conectando ciclos do indice a eventos economicos relevantes.</w:t>
      </w:r>
    </w:p>
    <w:p>
      <w:pPr>
        <w:pStyle w:val="ListBullet"/>
        <w:spacing w:after="100" w:line="280" w:lineRule="auto"/>
      </w:pPr>
      <w:r>
        <w:rPr>
          <w:rFonts w:ascii="Calibri" w:hAnsi="Calibri"/>
          <w:b w:val="0"/>
          <w:color w:val="1A1A1A"/>
          <w:sz w:val="22"/>
        </w:rPr>
        <w:t>Decomposicao, teste ADF e leitura de autocorrelacao para justificar a abordagem temporal.</w:t>
      </w:r>
    </w:p>
    <w:p>
      <w:pPr>
        <w:pStyle w:val="ListBullet"/>
        <w:spacing w:after="100" w:line="280" w:lineRule="auto"/>
      </w:pPr>
      <w:r>
        <w:rPr>
          <w:rFonts w:ascii="Calibri" w:hAnsi="Calibri"/>
          <w:b w:val="0"/>
          <w:color w:val="1A1A1A"/>
          <w:sz w:val="22"/>
        </w:rPr>
        <w:t>Comparacao entre baseline, ARIMA estatico e ARIMA walk-forward.</w:t>
      </w:r>
    </w:p>
    <w:p>
      <w:pPr>
        <w:pStyle w:val="ListBullet"/>
        <w:spacing w:after="100" w:line="280" w:lineRule="auto"/>
      </w:pPr>
      <w:r>
        <w:rPr>
          <w:rFonts w:ascii="Calibri" w:hAnsi="Calibri"/>
          <w:b w:val="0"/>
          <w:color w:val="1A1A1A"/>
          <w:sz w:val="22"/>
        </w:rPr>
        <w:t>Previsao de 15 pregoes com intervalo de confianca.</w:t>
      </w:r>
    </w:p>
    <w:p>
      <w:pPr>
        <w:pStyle w:val="Heading2"/>
        <w:spacing w:before="300" w:after="150"/>
      </w:pPr>
      <w:r>
        <w:rPr>
          <w:rFonts w:ascii="Calibri" w:hAnsi="Calibri"/>
          <w:b/>
          <w:color w:val="2E74B5"/>
          <w:sz w:val="26"/>
        </w:rPr>
        <w:t>10.2 Limites da abordagem e evolucoes</w:t>
      </w:r>
    </w:p>
    <w:p>
      <w:pPr>
        <w:spacing w:after="200" w:line="300" w:lineRule="auto"/>
        <w:jc w:val="both"/>
      </w:pPr>
      <w:r>
        <w:rPr>
          <w:rFonts w:ascii="Calibri" w:hAnsi="Calibri"/>
          <w:b w:val="0"/>
          <w:color w:val="1A1A1A"/>
          <w:sz w:val="22"/>
        </w:rPr>
        <w:t>Uma assertividade alta por WMAPE nao significa prever perfeitamente o mercado. O proprio baseline de persistencia fica forte porque o IBOVESPA geralmente nao muda muitos pontos de um pregao para o outro. Por isso, a entrega combina WMAPE, MAE, tolerancia de erro e interpretacao economica, em vez de vender uma unica metrica como verdade absoluta.</w:t>
      </w:r>
    </w:p>
    <w:p>
      <w:pPr>
        <w:spacing w:after="200" w:line="300" w:lineRule="auto"/>
        <w:jc w:val="both"/>
      </w:pPr>
      <w:r>
        <w:rPr>
          <w:rFonts w:ascii="Calibri" w:hAnsi="Calibri"/>
          <w:b w:val="0"/>
          <w:color w:val="1A1A1A"/>
          <w:sz w:val="22"/>
        </w:rPr>
        <w:t>A classificacao de direcao diaria segue mais dificil e instavel, o que e coerente com a literatura de mercados eficientes. Como proximo passo, o projeto poderia evoluir para SARIMAX, incorporando variaveis exogenas como Selic, cambio, juros futuros, S&amp;P 500, commodities e indicadores de sentimento.</w:t>
      </w:r>
    </w:p>
    <w:p>
      <w:pPr>
        <w:spacing w:after="200" w:line="300" w:lineRule="auto"/>
        <w:jc w:val="both"/>
      </w:pPr>
      <w:r>
        <w:rPr>
          <w:rFonts w:ascii="Calibri" w:hAnsi="Calibri"/>
          <w:b w:val="0"/>
          <w:color w:val="1A1A1A"/>
          <w:sz w:val="22"/>
        </w:rPr>
        <w:t>A interpretacao deve permanecer academica e analitica: o modelo nao substitui avaliacao de risco, eventos macroeconomicos ou analise de mercado em tempo real.</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666666"/>
        <w:sz w:val="18"/>
      </w:rPr>
      <w:t xml:space="preserve">Pagina </w:t>
    </w:r>
    <w:r>
      <w:rPr>
        <w:rFonts w:ascii="Calibri" w:hAnsi="Calibri"/>
        <w:b w:val="0"/>
        <w:color w:val="666666"/>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300" w:after="15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