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E4A7A"/>
          <w:sz w:val="20"/>
        </w:rPr>
        <w:t>SISTEMA DE GESTÃO ESCOLAR MUNICIPAL</w:t>
      </w:r>
    </w:p>
    <w:p>
      <w:pPr>
        <w:spacing w:after="80" w:before="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B2433"/>
          <w:sz w:val="36"/>
        </w:rPr>
        <w:t>Diagnóstico de atendimento aos requisitos mínimos de produção</w:t>
      </w:r>
    </w:p>
    <w:p>
      <w:pPr>
        <w:spacing w:after="160" w:before="0" w:line="276" w:lineRule="auto"/>
        <w:jc w:val="left"/>
      </w:pPr>
      <w:r>
        <w:rPr>
          <w:rFonts w:ascii="Times New Roman" w:hAnsi="Times New Roman" w:eastAsia="Times New Roman"/>
          <w:b w:val="0"/>
          <w:i/>
          <w:color w:val="5A6573"/>
          <w:sz w:val="22"/>
        </w:rPr>
        <w:t>Reavaliação independente do repositório contra o plano executivo da SME.</w:t>
      </w:r>
    </w:p>
    <w:p>
      <w:pPr>
        <w:spacing w:after="16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color w:val="5A6573"/>
          <w:sz w:val="18"/>
        </w:rPr>
        <w:t>Referência DX-SGE-001/2026  ·  30 de agosto de 2026  ·  Plano: PLANO_EXECUCAO_PRODUCAO_MINIMA v1.0.0</w:t>
      </w:r>
    </w:p>
    <w:p>
      <w:pPr>
        <w:spacing w:after="160" w:before="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B6B4A"/>
          <w:sz w:val="22"/>
        </w:rPr>
        <w:t>Veredito: o repositório ATENDE os requisitos mínimos de produção definidos para Secretarias Municipais de Educação. As seis ondas do plano (P1 e P2) estão implementadas no backend. No frontend, dez dos doze itens de interface estão completos e dois permanecem parciais. Nenhum item do plano está ausente.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Esta conclusão inverte a avaliação comercial anterior, que classificava o produto como MVP avançado do núcleo pedagógico (~55% de prontidão). O código atual opera o ciclo letivo municipal de ponta a ponta: da matrícula à transferência, do diário ao boletim, do backup à auditoria, do portal do responsável ao encerramento do ano.</w:t>
      </w:r>
    </w:p>
    <w:p>
      <w:pPr>
        <w:spacing w:after="160" w:before="2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E4A7A"/>
          <w:sz w:val="28"/>
        </w:rPr>
        <w:t>1. Critério utilizado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Foi utilizado exclusivamente o Definition of Done e as fichas técnicas do plano de produção mínima. Itens declarados como non-goals (merenda, transporte, folha, aplicativo nativo, 2FA e selo INEP/MEC) não entram no cálculo de atendimento. Documentos internos desatualizados foram ignorados quando contradiziam o código.</w:t>
      </w:r>
    </w:p>
    <w:p>
      <w:pPr>
        <w:spacing w:after="160" w:before="2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E4A7A"/>
          <w:sz w:val="28"/>
        </w:rPr>
        <w:t>2. Evolução desde a avaliação anterior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Indicador</w:t>
            </w:r>
          </w:p>
        </w:tc>
        <w:tc>
          <w:tcPr>
            <w:tcW w:type="dxa" w:w="3137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Avaliação anterior</w:t>
            </w:r>
          </w:p>
        </w:tc>
        <w:tc>
          <w:tcPr>
            <w:tcW w:type="dxa" w:w="3137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30/08/2026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Prontidão vs produção mínima SME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~55%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~88%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Linhas de aplicação (backend + frontend)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~23–25 mil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~36 mil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Casos de teste pytest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~189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~288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Páginas React roteáveis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núcleo + placeholders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38 páginas (2 placeholders)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Âncora Formato 1 (cessão as-is)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R$ 320.000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R$ 520.000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Formato 2 (código + 12 meses)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R$ 420.000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R$ 540.000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Piso interno de walk-away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R$ 190.000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R$ 340.000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Custo estimado de reposição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R$ 580.000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R$ 780.000</w:t>
            </w:r>
          </w:p>
        </w:tc>
      </w:tr>
    </w:tbl>
    <w:p/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/>
          <w:color w:val="5A6573"/>
          <w:sz w:val="18"/>
        </w:rPr>
        <w:t>Fonte: 21.015 linhas Python (sem migrations), 15.295 linhas TypeScript, ~288 casos pytest, 38 páginas React, 2 placeholders.</w:t>
      </w:r>
    </w:p>
    <w:p>
      <w:pPr>
        <w:spacing w:after="160" w:before="2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E4A7A"/>
          <w:sz w:val="28"/>
        </w:rPr>
        <w:t>3. Atendimento por onda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Onda</w:t>
            </w:r>
          </w:p>
        </w:tc>
        <w:tc>
          <w:tcPr>
            <w:tcW w:type="dxa" w:w="1882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1882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Backend</w:t>
            </w:r>
          </w:p>
        </w:tc>
        <w:tc>
          <w:tcPr>
            <w:tcW w:type="dxa" w:w="1882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Frontend</w:t>
            </w:r>
          </w:p>
        </w:tc>
        <w:tc>
          <w:tcPr>
            <w:tcW w:type="dxa" w:w="1882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1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P1-HARDEN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Implementado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n/a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Compose de produção, recusa de boot inseguro, health/ready, CI deploy-check.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2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P1-BACKUP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Implementado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n/a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pg_dump noturno, retenção de 30 dias, disparo manual restrito à SME.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3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P1-TRANSFER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Implementado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Implementado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Encerra matrícula de origem, cria destino, respeita capacidade.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3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P1-AUDIT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Implementado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Implementado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AuditLog no banco; dashboard com atividade recente real.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4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P1-LGPD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Implementado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Parcial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Consentimento, portabilidade e anonimização. Falta aceite no cadastro.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4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P2-PWDRESET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Implementado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Implementado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Esqueci senha, redefinição por token e alteração na ficha de perfil.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4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P2-DOC-UPLOAD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Implementado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Implementado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Upload multipart com validação de MIME e isolamento por escola.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5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P2-CLASS-CRUD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Implementado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Implementado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Criação e edição de turmas e salas na interface.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5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P2-USERS-UI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Implementado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Implementado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SME cadastra diretores e secretários sem Django Admin.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5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P2-REPORTS-UI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Implementado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Parcial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Boletim e carteirinha em PDF. Falta histórico escolar em PDF.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6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P2-EDUCACENSO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Implementado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Implementado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Validação + ZIP estruturado. Não é o layout oficial do INEP.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6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P2-GUARDIAN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Implementado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Implementado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Portal Meus Filhos. CRUD de responsáveis ainda é placeholder.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6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P2-NOTIF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Implementado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Implementado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Notificações in-app com gatilhos. Sem e-mail/WhatsApp.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6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P2-YEAREND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Implementado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Implementado</w:t>
            </w:r>
          </w:p>
        </w:tc>
        <w:tc>
          <w:tcPr>
            <w:tcW w:type="dxa" w:w="188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Encerramento de ano, consolidação de histórico e trava do diário.</w:t>
            </w:r>
          </w:p>
        </w:tc>
      </w:tr>
    </w:tbl>
    <w:p/>
    <w:p>
      <w:pPr>
        <w:spacing w:after="160" w:before="2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E4A7A"/>
          <w:sz w:val="28"/>
        </w:rPr>
        <w:t>4. Gaps residuais (não bloqueantes para piloto)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Aceite de termos LGPD obrigatório no cadastro/matrícula.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Emissão de histórico escolar em PDF na ficha do aluno.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Telas de Responsáveis e Conteúdo ministrado ainda são placeholder.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Ensaio de restore do backup em homologação.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SMTP de produção para o fluxo de reset de senha.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CI com lint/mypy/Bandit/Sonar em continue-on-error.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Licença MIT no pyproject.toml — incompatível com cessão exclusiva se o repositório for público.</w:t>
      </w:r>
    </w:p>
    <w:p>
      <w:pPr>
        <w:spacing w:after="160" w:before="2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E4A7A"/>
          <w:sz w:val="28"/>
        </w:rPr>
        <w:t>5. Recomendação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O produto está apto a um piloto municipal homologado internamente. Não é um ERP educacional completo nem um sistema homologado pelo INEP. Recomenda-se ofertar o Formato 2 à prefeitura e o Formato 1 apenas a comprador com engenharia própria. Os gaps residuais não justificam mais o desconto de MVP da avaliação anterior.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Times New Roman" w:hAnsi="Times New Roman" w:eastAsia="Times New Roman"/>
        <w:b w:val="0"/>
        <w:i w:val="0"/>
        <w:color w:val="5A6573"/>
        <w:sz w:val="16"/>
      </w:rPr>
      <w:t>SGE Municipal  ·  documentos comerciais  ·  agosto/2026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