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8A5A12"/>
          <w:sz w:val="18"/>
        </w:rPr>
        <w:t>MEMORANDO INTERNO — NÃO ENVIAR AO COMPRADOR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B2433"/>
          <w:sz w:val="36"/>
        </w:rPr>
        <w:t>Precificação comercial — SGE Municipal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color w:val="5A6573"/>
          <w:sz w:val="18"/>
        </w:rPr>
        <w:t>PF-SGE-002/2026  ·  30 de agosto de 2026  ·  uso exclusivo de sócios e direção comercial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O produto deixou de ser um MVP. A âncora anterior de R$ 320 mil pressupunha evoluções obrigatórias que agora estão no código. O preço sobe porque o risco caiu.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1. Números-âncora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Peça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Valor</w:t>
            </w:r>
          </w:p>
        </w:tc>
        <w:tc>
          <w:tcPr>
            <w:tcW w:type="dxa" w:w="3137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Leitura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Formato 1 — lista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R$ 520.000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Faixa R$ 420–620 mil. Piso: R$ 340 mil.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Formato 2 — padrão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R$ 540.000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R$ 360 mil + 12 × R$ 15 mil. À vista: R$ 513 mil.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Ano 2 Formato 2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R$ 16.500/mês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Sem nova cessão. IPCA + 2 p.p.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Custo de reposição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R$ 780.000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12–14 meses, ~2,5 FTE.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Âncora i-Educar SLM-PE 2021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R$ 347 mil/ano</w:t>
            </w:r>
          </w:p>
        </w:tc>
        <w:tc>
          <w:tcPr>
            <w:tcW w:type="dxa" w:w="313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~R$ 500 mil em 2026.</w:t>
            </w:r>
          </w:p>
        </w:tc>
      </w:tr>
    </w:tbl>
    <w:p/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2. Formato 1 — cessão fechada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Código, Docker de produção, docs, OpenAPI, 40 h de handover, 90 dias de defeito já existente. Sem hospedagem, treino nem feature nova. 40/40/20.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3. Formato 2 — código + 12 meses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Tudo do Formato 1 + 32 h/mês, SLA 8×5, 16 h de capacitação, primeiro deploy. Hora extra R$ 220. L/XL com 12% off.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4. Como fechar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Prefeitura / SME: Formato 2 (R$ 540 mil no ano 1).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Software house: Formato 1 a R$ 520 mil (chão R$ 420 mil à vista).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color w:val="1B2433"/>
          <w:sz w:val="22"/>
        </w:rPr>
        <w:t>Investidor: não vender abaixo de R$ 340 mil.</w:t>
      </w:r>
    </w:p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5. Catálogo residual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Porte</w:t>
            </w:r>
          </w:p>
        </w:tc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Lista</w:t>
            </w:r>
          </w:p>
        </w:tc>
        <w:tc>
          <w:tcPr>
            <w:tcW w:type="dxa" w:w="2353"/>
            <w:shd w:fill="152C4A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SMTP de produção + templates de e-mail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R$ 5.500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Necessário para reset de senha em produção.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Drill de restore e runbook de DR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R$ 5.500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O backup existe; a restauração ainda precisa ser ensaiada.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Histórico escolar PDF + aceite LGPD no cadastro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R$ 14.000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Gaps residuais do plano mínimo.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CRUD de responsáveis e conteúdo ministrado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R$ 14.000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Telas hoje são placeholder.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WhatsApp (Twilio) para avisos à família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R$ 14.000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Fora do mínimo; o canal in-app já existe.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Autenticação 2FA TOTP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R$ 14.000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Fora do escopo do plano mínimo.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Educacenso em layout oficial INEP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L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R$ 65.000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A exportação estruturada já está inclusa.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Assinatura digital ICP-Brasil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L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R$ 42.000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PDFs atuais têm texto institucional e QR Code, sem certificado.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Merenda escolar / PNAE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XL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Sob consulta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Fora de escopo.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Transporte escolar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XL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Sob consulta</w:t>
            </w:r>
          </w:p>
        </w:tc>
        <w:tc>
          <w:tcPr>
            <w:tcW w:type="dxa" w:w="2353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B2433"/>
                <w:sz w:val="18"/>
              </w:rPr>
              <w:t>Fora de escopo.</w:t>
            </w:r>
          </w:p>
        </w:tc>
      </w:tr>
    </w:tbl>
    <w:p/>
    <w:p>
      <w:pPr>
        <w:spacing w:after="160" w:before="28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E4A7A"/>
          <w:sz w:val="28"/>
        </w:rPr>
        <w:t>6. IP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8A5A12"/>
          <w:sz w:val="22"/>
        </w:rPr>
        <w:t>MIT no pyproject.toml impede cessão exclusiva enquanto o repositório for público. Fechar o remoto e alterar a licença antes da assinatura.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Times New Roman"/>
        <w:b w:val="0"/>
        <w:i w:val="0"/>
        <w:color w:val="5A6573"/>
        <w:sz w:val="16"/>
      </w:rPr>
      <w:t>SGE Municipal  ·  documentos comerciais  ·  agosto/2026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