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e Identidade Visual — V6.3</w:t>
      </w:r>
    </w:p>
    <w:p>
      <w:pPr>
        <w:pStyle w:val="Heading1"/>
      </w:pPr>
      <w:r>
        <w:t>Direção</w:t>
      </w:r>
    </w:p>
    <w:p>
      <w:r>
        <w:t>O Excel deve ter aparência de sistema profissional.</w:t>
      </w:r>
    </w:p>
    <w:p>
      <w:pPr>
        <w:pStyle w:val="Heading1"/>
      </w:pPr>
      <w:r>
        <w:t>Design System</w:t>
      </w:r>
    </w:p>
    <w:p>
      <w:r>
        <w:t>Aplicar integralmente o kit de marca aprovado: logo, paleta, tipografia, ícones, componentes, espaçamento, cards, tabelas e estados.</w:t>
      </w:r>
    </w:p>
    <w:p>
      <w:pPr>
        <w:pStyle w:val="Heading1"/>
      </w:pPr>
      <w:r>
        <w:t>Princípio</w:t>
      </w:r>
    </w:p>
    <w:p>
      <w:r>
        <w:t>Menos é mais; entrada simples e saída inteligente.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