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Regras de Negócio — V6.3</w:t>
      </w:r>
    </w:p>
    <w:p>
      <w:pPr>
        <w:pStyle w:val="Heading1"/>
      </w:pPr>
      <w:r>
        <w:t>Financeiro</w:t>
      </w:r>
    </w:p>
    <w:p>
      <w:r>
        <w:t>Indicadores principais: Orçamento Previsto, Custo Realizado e Saldo Atual.</w:t>
      </w:r>
    </w:p>
    <w:p>
      <w:pPr>
        <w:pStyle w:val="Heading1"/>
      </w:pPr>
      <w:r>
        <w:t>Execução</w:t>
      </w:r>
    </w:p>
    <w:p>
      <w:r>
        <w:t>Percentuais e status devem ser calculados de forma consistente com etapas, subetapas e pesos.</w:t>
      </w:r>
    </w:p>
    <w:p>
      <w:pPr>
        <w:pStyle w:val="Heading1"/>
      </w:pPr>
      <w:r>
        <w:t>Alertas</w:t>
      </w:r>
    </w:p>
    <w:p>
      <w:r>
        <w:t>Critérios de desvio, atraso, saldo negativo e situações de atenção devem ser explícitos e testáveis.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