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Segurança, Proteção e Perfis de Acesso — V6.3</w:t>
      </w:r>
    </w:p>
    <w:p>
      <w:pPr>
        <w:pStyle w:val="Heading1"/>
      </w:pPr>
      <w:r>
        <w:t>Administrador/Operador</w:t>
      </w:r>
    </w:p>
    <w:p>
      <w:r>
        <w:t>Perfil único que administra e opera o sistema.</w:t>
      </w:r>
    </w:p>
    <w:p>
      <w:pPr>
        <w:pStyle w:val="Heading1"/>
      </w:pPr>
      <w:r>
        <w:t>Cliente</w:t>
      </w:r>
    </w:p>
    <w:p>
      <w:r>
        <w:t>Perfil predominantemente consultivo; acessa somente informações autorizadas.</w:t>
      </w:r>
    </w:p>
    <w:p>
      <w:pPr>
        <w:pStyle w:val="Heading1"/>
      </w:pPr>
      <w:r>
        <w:t>Proteção</w:t>
      </w:r>
    </w:p>
    <w:p>
      <w:r>
        <w:t>Abas ocultas não são segurança suficiente. Usar interface por perfil, permissões, proteção de células/planilhas/arquivo e permissões do ambiente de armazenamento.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