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 001 Principios Agnosticos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Bi 001 Principios Agnosticos</w:t>
      </w:r>
    </w:p>
    <w:p>
      <w:pPr>
        <w:pStyle w:val="Heading2"/>
      </w:pPr>
      <w:r>
        <w:t>Objetivo</w:t>
        <w:br/>
        <w:t>Dados independentes da ferramenta de BI.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