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001 Modelo Universal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001 Modelo Universal</w:t>
      </w:r>
    </w:p>
    <w:p>
      <w:pPr>
        <w:pStyle w:val="Heading2"/>
      </w:pPr>
      <w:r>
        <w:t>Objetivo</w:t>
        <w:br/>
        <w:t>Princípios de uma base tabular independente de BI.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