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002 Obras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002 Obras</w:t>
      </w:r>
    </w:p>
    <w:p>
      <w:pPr>
        <w:pStyle w:val="Heading2"/>
      </w:pPr>
      <w:r>
        <w:t>Objetivo</w:t>
        <w:br/>
        <w:t>Estrutura do cadastro de obras.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