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Dad 007 Compras E Fornecedores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Dad 007 Compras E Fornecedores</w:t>
      </w:r>
    </w:p>
    <w:p>
      <w:pPr>
        <w:pStyle w:val="Heading2"/>
      </w:pPr>
      <w:r>
        <w:t>Objetivo</w:t>
        <w:br/>
        <w:t>Compras, cotações e fornecedores.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