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Dad 010 Padronizacao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Dad 010 Padronizacao</w:t>
      </w:r>
    </w:p>
    <w:p>
      <w:pPr>
        <w:pStyle w:val="Heading2"/>
      </w:pPr>
      <w:r>
        <w:t>Objetivo</w:t>
        <w:br/>
        <w:t>Datas, números, categorias, status e integridade.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