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002 Kit De Marca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002 Kit De Marca</w:t>
      </w:r>
    </w:p>
    <w:p>
      <w:pPr>
        <w:pStyle w:val="Heading2"/>
      </w:pPr>
      <w:r>
        <w:t>Objetivo</w:t>
        <w:br/>
        <w:t>Local oficial para o kit de marca do cliente; incluir arquivos originais fornecidos pelo cliente.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