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Dsg 004 Componentes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Dsg 004 Componentes</w:t>
      </w:r>
    </w:p>
    <w:p>
      <w:pPr>
        <w:pStyle w:val="Heading2"/>
      </w:pPr>
      <w:r>
        <w:t>Objetivo</w:t>
        <w:br/>
        <w:t>Botões, cards, tabelas, cabeçalhos, alertas e indicadores.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