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Hml 002 Cenarios Reais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Hml 002 Cenarios Reais</w:t>
      </w:r>
    </w:p>
    <w:p>
      <w:pPr>
        <w:pStyle w:val="Heading2"/>
      </w:pPr>
      <w:r>
        <w:t>Objetivo</w:t>
        <w:br/>
        <w:t>Roteiro de uso simulado.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